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B809" w14:textId="72FB8BB6" w:rsidR="00B3050E" w:rsidRPr="00593C82" w:rsidRDefault="00C33AC5" w:rsidP="00C33AC5">
      <w:pPr>
        <w:spacing w:line="360" w:lineRule="auto"/>
        <w:jc w:val="center"/>
        <w:rPr>
          <w:rFonts w:ascii="Bookman Old Style" w:eastAsia="Batang" w:hAnsi="Bookman Old Style" w:cs="Arial"/>
          <w:b/>
          <w:bCs/>
          <w:sz w:val="24"/>
          <w:szCs w:val="24"/>
          <w:u w:val="single"/>
        </w:rPr>
      </w:pPr>
      <w:r w:rsidRPr="00593C82">
        <w:rPr>
          <w:rFonts w:ascii="Bookman Old Style" w:eastAsia="Batang" w:hAnsi="Bookman Old Style" w:cs="Arial"/>
          <w:b/>
          <w:bCs/>
          <w:sz w:val="24"/>
          <w:szCs w:val="24"/>
          <w:u w:val="single"/>
        </w:rPr>
        <w:t>REQUERIMENTO N° 0</w:t>
      </w:r>
      <w:r w:rsidR="00E52DF2">
        <w:rPr>
          <w:rFonts w:ascii="Bookman Old Style" w:eastAsia="Batang" w:hAnsi="Bookman Old Style" w:cs="Arial"/>
          <w:b/>
          <w:bCs/>
          <w:sz w:val="24"/>
          <w:szCs w:val="24"/>
          <w:u w:val="single"/>
        </w:rPr>
        <w:t>2</w:t>
      </w:r>
      <w:r w:rsidRPr="00593C82">
        <w:rPr>
          <w:rFonts w:ascii="Bookman Old Style" w:eastAsia="Batang" w:hAnsi="Bookman Old Style" w:cs="Arial"/>
          <w:b/>
          <w:bCs/>
          <w:sz w:val="24"/>
          <w:szCs w:val="24"/>
          <w:u w:val="single"/>
        </w:rPr>
        <w:t>/202</w:t>
      </w:r>
      <w:r w:rsidR="0066717F">
        <w:rPr>
          <w:rFonts w:ascii="Bookman Old Style" w:eastAsia="Batang" w:hAnsi="Bookman Old Style" w:cs="Arial"/>
          <w:b/>
          <w:bCs/>
          <w:sz w:val="24"/>
          <w:szCs w:val="24"/>
          <w:u w:val="single"/>
        </w:rPr>
        <w:t>6</w:t>
      </w:r>
    </w:p>
    <w:p w14:paraId="3B17874E" w14:textId="0D7F6BE6" w:rsidR="00593C82" w:rsidRDefault="00593C82" w:rsidP="00B3050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6C5AFD84" w14:textId="77777777" w:rsidR="00326088" w:rsidRDefault="00326088" w:rsidP="00B3050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67ADB8E" w14:textId="47091C50" w:rsidR="00593C82" w:rsidRDefault="00593C82" w:rsidP="00B3050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2315A6C" w14:textId="177F8169" w:rsidR="001C7194" w:rsidRDefault="00B3050E" w:rsidP="00B3050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B3050E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Assunto: 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CONCESSÃO DE </w:t>
      </w:r>
      <w:r w:rsidRPr="00B3050E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MOÇÃO DE </w:t>
      </w:r>
      <w:r w:rsidR="0066717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REPÚDIO </w:t>
      </w:r>
    </w:p>
    <w:p w14:paraId="4B7FA9B0" w14:textId="7B9D9B40" w:rsidR="00F10653" w:rsidRDefault="00F10653" w:rsidP="00B3050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6859F00A" w14:textId="0477A2BB" w:rsidR="00F10653" w:rsidRDefault="0066717F" w:rsidP="0066717F">
      <w:pPr>
        <w:spacing w:line="360" w:lineRule="auto"/>
        <w:ind w:left="3402" w:right="373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66717F">
        <w:rPr>
          <w:rFonts w:ascii="Bookman Old Style" w:eastAsia="Batang" w:hAnsi="Bookman Old Style" w:cs="Arial"/>
          <w:color w:val="000000" w:themeColor="text1"/>
          <w:sz w:val="22"/>
          <w:szCs w:val="22"/>
        </w:rPr>
        <w:t>Requer da Mesa Diretora envio ao Senado Federal de moção de Repúdio à indicação do Dr. Jorge Rodrigo Araújo Messias para o cargo de Ministro do Supremo Tribunal Federal.</w:t>
      </w:r>
    </w:p>
    <w:p w14:paraId="580D825E" w14:textId="77777777" w:rsidR="00326088" w:rsidRDefault="00326088" w:rsidP="00B3050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DA84C0D" w14:textId="5FACC06F" w:rsidR="00F20EDB" w:rsidRDefault="00F20EDB" w:rsidP="00F20EDB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EXCELENTÍSSIMO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SENHOR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PRESIDENTE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PRESIDENTE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DA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CÂMARA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MUNICIPAL DE 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DIAMANTE DO NORTE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:</w:t>
      </w:r>
    </w:p>
    <w:p w14:paraId="015F4CA7" w14:textId="77777777" w:rsidR="00D049CC" w:rsidRPr="00F20EDB" w:rsidRDefault="00D049CC" w:rsidP="00F20EDB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C7A462B" w14:textId="41253A38" w:rsidR="00F20EDB" w:rsidRDefault="00661F02" w:rsidP="00F20EDB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Todos os</w:t>
      </w:r>
      <w:r w:rsidR="00F20EDB"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Vereador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es, </w:t>
      </w:r>
      <w:r w:rsidR="00F20EDB"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no uso de suas atribuições legais, e na forma regimental, requerem à Mesa Diretora o envio de expediente:</w:t>
      </w:r>
    </w:p>
    <w:p w14:paraId="04135C7F" w14:textId="77777777" w:rsidR="00F20EDB" w:rsidRPr="00F20EDB" w:rsidRDefault="00F20EDB" w:rsidP="00F20EDB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6B042451" w14:textId="2F4E2FBA" w:rsidR="00F2687A" w:rsidRDefault="00F20EDB" w:rsidP="00F20EDB">
      <w:pPr>
        <w:spacing w:line="360" w:lineRule="auto"/>
        <w:ind w:left="2268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– </w:t>
      </w:r>
      <w:proofErr w:type="gramStart"/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aos</w:t>
      </w:r>
      <w:proofErr w:type="gramEnd"/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Gabinetes da Presidência do Senado, da Presidência da Câmara Federal e dos 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S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>enadores do Estado d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o Paraná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para acolher esta moção como manifestação de vontade da maioria absoluta do Povo de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Diamante do Norte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mediante deliberação de seus representantes legitimamente eleitos, no intuito </w:t>
      </w:r>
      <w:r w:rsidRPr="00F20EDB">
        <w:rPr>
          <w:rFonts w:ascii="Bookman Old Style" w:eastAsia="Batang" w:hAnsi="Bookman Old Style" w:cs="Arial"/>
          <w:b/>
          <w:bCs/>
          <w:color w:val="000000" w:themeColor="text1"/>
          <w:sz w:val="22"/>
          <w:szCs w:val="22"/>
        </w:rPr>
        <w:t>rejeitar aprovação do Sr. Jorge Rodrigo Araújo Messias</w:t>
      </w:r>
      <w:r w:rsidRPr="00F20EDB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ao cargo de Ministro do Supremo Tribunal Federal.</w:t>
      </w:r>
    </w:p>
    <w:p w14:paraId="0E6950CF" w14:textId="546B60B5" w:rsidR="00326088" w:rsidRDefault="00326088" w:rsidP="001C7194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669DB64" w14:textId="412E149C" w:rsidR="00D049CC" w:rsidRDefault="00D049CC" w:rsidP="001C7194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70C5A77C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Durante o julgamento da ADPF 1141 que anulou a resolução do Conselho Federal de Medicina, a Advocacia Geral da União (AGU) foi consultada pelo Supremo Tribunal Federal. O titular da AGU era, na época, o SR. JORGE RODRIGO ARAÚJO MESSIAS, hoje indicado pelo presidente Lula para ser o próximo Ministro do STF.</w:t>
      </w:r>
    </w:p>
    <w:p w14:paraId="69B73DD9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5CCAD23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lastRenderedPageBreak/>
        <w:t>Apesar de declarar-se evangélico, o Sr. Jorge Messias endossou a liminar do Supremo Tribunal Federal que permitiu a assistolia fetal em sua totalidade. Jorge Messias afirmou que a Resolução do CFM era absurda</w:t>
      </w:r>
    </w:p>
    <w:p w14:paraId="081AE27F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0A6FE042" w14:textId="77777777" w:rsidR="00D049CC" w:rsidRPr="00D049CC" w:rsidRDefault="00D049CC" w:rsidP="00D049CC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“</w:t>
      </w: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porque pretendia proibir o aborto no final da gravidez, substituindo-o pela entrega legal e pelos melhores cuidados médicos disponíveis para o bebê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”.</w:t>
      </w:r>
    </w:p>
    <w:p w14:paraId="00FAE759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489EA9E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Segundo Jorge Messias,</w:t>
      </w:r>
    </w:p>
    <w:p w14:paraId="29FA8C76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0BEB60C7" w14:textId="77777777" w:rsidR="00D049CC" w:rsidRPr="00D049CC" w:rsidRDefault="00D049CC" w:rsidP="00D049CC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“o direito ao aborto vai até os nove meses de gravidez, e faz parte INDISSOCIÁVEL do direito ao aborto a morte do bebê”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.</w:t>
      </w:r>
    </w:p>
    <w:p w14:paraId="5FEC5C37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099A88BB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Portanto, segundo ainda afirmou o Sr. Jorge Messias,</w:t>
      </w:r>
    </w:p>
    <w:p w14:paraId="087C2888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2990ADEA" w14:textId="1AB3DDCE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“</w:t>
      </w: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declarar [como f</w:t>
      </w:r>
      <w:r w:rsidR="001D571A"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e</w:t>
      </w: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z o Conselho Federal de Medicina] que o aborto no final da gravidez seja um ato contra a ética médica</w:t>
      </w:r>
      <w:r w:rsidR="001D571A"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 xml:space="preserve"> </w:t>
      </w: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viola a Constituição Brasileira</w:t>
      </w:r>
      <w:r w:rsidR="001D571A"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 xml:space="preserve"> </w:t>
      </w: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e o direito das</w:t>
      </w:r>
      <w:r w:rsidR="001D571A"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 xml:space="preserve"> </w:t>
      </w:r>
      <w:r w:rsidRPr="00661F02">
        <w:rPr>
          <w:rFonts w:ascii="Bookman Old Style" w:eastAsia="Batang" w:hAnsi="Bookman Old Style" w:cs="Arial"/>
          <w:i/>
          <w:iCs/>
          <w:color w:val="000000" w:themeColor="text1"/>
          <w:sz w:val="22"/>
          <w:szCs w:val="22"/>
        </w:rPr>
        <w:t>mulheres, principalmente das mais vulneráveis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”.</w:t>
      </w:r>
    </w:p>
    <w:p w14:paraId="2E6CC07A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7F03A427" w14:textId="77777777" w:rsidR="00661F02" w:rsidRDefault="00661F02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D20D353" w14:textId="4C37429F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Estamos falando não de fetos inviáveis, mas de bebês de 7, 8 e 9 meses de gestação os quais, ainda que tenham sido conce</w:t>
      </w:r>
      <w:r w:rsidR="00FD0BF6">
        <w:rPr>
          <w:rFonts w:ascii="Bookman Old Style" w:eastAsia="Batang" w:hAnsi="Bookman Old Style" w:cs="Arial"/>
          <w:color w:val="000000" w:themeColor="text1"/>
          <w:sz w:val="22"/>
          <w:szCs w:val="22"/>
        </w:rPr>
        <w:t>bi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dos mediante violência, poderiam ser facilmente destinados à entrega legal. Estamos falando de bebês que, se estivessem em uma incubadora, sua morte seria considerada por qualquer tribunal como um homicídio qualificado.</w:t>
      </w:r>
    </w:p>
    <w:p w14:paraId="0F57EA2D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ABF7DB7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Em vez disso o Sr. Jorge Messias endossou a liminar concedida pelo STF afirmando que nestes casos a morte do bebê por assistolia seria um direito da gestante. "A morte do feto é um elemento indissociável do aborto", sustentou o Sr. Jorge Messias em seu parecer. Isto como se o bebê já não fosse manifestamente um ser humano e como se todo ser humano não tivesse direito à vida, apenas por se tratar de um ser humano.</w:t>
      </w:r>
    </w:p>
    <w:p w14:paraId="5F46A640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464DE1C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lastRenderedPageBreak/>
        <w:t>A assistolia, recomendada nestes casos pelo parecer, consiste na introdução de cloreto de potássio diretamente no coração do nascituro, causando a sua parada cardíaca. O procedimento é propositalmente introduzido para facilitar a prática do aborto entre o quinto e o nono mês de gestação, pois sem a assistolia, o bebê nasceria vivo e teria que ser morto fora do útero, um procedimento traumático até mesmo para os profissionais da área da saúde que se dispõe a trabalhar com o aborto.</w:t>
      </w:r>
    </w:p>
    <w:p w14:paraId="1CA9B17D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50ACFAB" w14:textId="4A18669A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Segundo dados apresentados pelo Dr. Rafael Câmara do Conselho Federal de Medicina na Comissão de Direitos Humanos do Senado em agosto de 2025, desde que foi assinada a liminar em questão tem sido mortos cerca de três bebês viáveis por dia no Brasil.</w:t>
      </w:r>
    </w:p>
    <w:p w14:paraId="7ACDA2FE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C3E37CB" w14:textId="1582442A" w:rsidR="007847CE" w:rsidRDefault="007847CE" w:rsidP="007847C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No Brasil, há uma extensa fila de famílias ansiosas por acolher crianças, especialmente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recém-nascidos. Preferir a morte cruel de um bebê viável à sua entrega para uma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família que o deseja é um absurdo moral. Contudo, em seu parecer na ADPF 1141, o Sr.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Jorge Messias classificou como absurda a recomendação do CFM de encaminhar essas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crianças à adoção legal. Pior ainda, defendeu a tese abjeta de que não se trata apenas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do direito da mulher de se ver livre da gestação, mas do direito de exigir a morte do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nascituro, afirmando que "a morte do feto é elemento indissociável do aborto".</w:t>
      </w:r>
    </w:p>
    <w:p w14:paraId="417DC0E5" w14:textId="77777777" w:rsidR="007847CE" w:rsidRPr="007847CE" w:rsidRDefault="007847CE" w:rsidP="007847C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1A4DD46" w14:textId="484AF84F" w:rsidR="007847CE" w:rsidRDefault="007847CE" w:rsidP="007847C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A vida deve ser defendida como direito humano inerente por si mesmo a todo ser humano, conforme o Artigo 3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°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da Declaração Universal dos Direitos Humanos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,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do qual o Brasil é signatário: “</w:t>
      </w:r>
      <w:r w:rsidRPr="00661F02">
        <w:rPr>
          <w:rFonts w:ascii="Bookman Old Style" w:eastAsia="Batang" w:hAnsi="Bookman Old Style" w:cs="Arial"/>
          <w:b/>
          <w:bCs/>
          <w:color w:val="000000" w:themeColor="text1"/>
          <w:sz w:val="22"/>
          <w:szCs w:val="22"/>
        </w:rPr>
        <w:t>Todo ser humano tem direito à vida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”.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Além da citada Declaração,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o Pacto de São José da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Costa Rica e a nossa Constituição Federal, reconhece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m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que todo ser humano tem direito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à vida de forma inviolável. Esse direito não decorre de uma concessão judicial, mas da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própria dignidade inerente ao pertencimento à espécie humana.</w:t>
      </w:r>
    </w:p>
    <w:p w14:paraId="5C477D8F" w14:textId="77777777" w:rsidR="007847CE" w:rsidRDefault="007847CE" w:rsidP="007847C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811F34C" w14:textId="54E97F3D" w:rsidR="007847CE" w:rsidRPr="007847CE" w:rsidRDefault="007847CE" w:rsidP="007847C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U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>tilizar-se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da autoridade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estatal para referendar o extermínio sistemático de bebês plenamente formados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aproxima-se do que o direito internacional define como crime contra a humanidade.</w:t>
      </w:r>
    </w:p>
    <w:p w14:paraId="503BCC01" w14:textId="00DB9706" w:rsidR="00FC5D8F" w:rsidRDefault="007847CE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O Supremo Tribunal Federal detém a prerrogativa e o dever inderrogável de atuar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como o guardião estrito da Constituição da República e dos direitos e garantias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fundamentais nela insculpidos, notadamente a inviolabilidade do direito à vida.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Destarte, a Corte não deve ser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lastRenderedPageBreak/>
        <w:t>instrumentalizada como uma via de exceção para a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>legitimação de práticas que descaracterizem a dignidade da pessoa humana. A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eventual ratificação de um jurista que endossa ativamente procedimentos que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resultam na eliminação de vidas viáveis no último trimestre gestacional transcende a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avaliação ordinária de um candidato. Tal chancela institucional teria o condão de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estabelecer um precedente histórico e jurisprudencial de graves proporções para o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ordenamento jurídico brasileiro, sinalizando uma possível relativização dos direitos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fundamentais e fragilizando a proteção devida aos indivíduos em seu estágio de maior</w:t>
      </w:r>
      <w:r w:rsid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="00FC5D8F"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vulnerabilidade.</w:t>
      </w:r>
    </w:p>
    <w:p w14:paraId="033D6A52" w14:textId="77777777" w:rsidR="00FC5D8F" w:rsidRPr="00FC5D8F" w:rsidRDefault="00FC5D8F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B7C0817" w14:textId="1F06C1F3" w:rsidR="00FC5D8F" w:rsidRDefault="00FC5D8F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Os parlamentares signatários, na condição de legítimos representantes do povo, não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podem se furtar ao dever de refletir a profunda indignação social que envolve 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matéria. Diversas pesquisas de opinião pública demonstram, de forma consistente, que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a população brasileira se posiciona majoritariamente contrária à descriminalização do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aborto. Um levantamento recente do </w:t>
      </w:r>
      <w:proofErr w:type="spellStart"/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PoderData</w:t>
      </w:r>
      <w:proofErr w:type="spellEnd"/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aponta que 68% dos brasileiros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rejeitam sua liberação</w:t>
      </w:r>
      <w:r w:rsidR="00954E21">
        <w:rPr>
          <w:rStyle w:val="Refdenotaderodap"/>
          <w:rFonts w:ascii="Bookman Old Style" w:eastAsia="Batang" w:hAnsi="Bookman Old Style" w:cs="Arial"/>
          <w:color w:val="000000" w:themeColor="text1"/>
          <w:sz w:val="22"/>
          <w:szCs w:val="22"/>
        </w:rPr>
        <w:footnoteReference w:id="1"/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, enquanto dados do </w:t>
      </w:r>
      <w:proofErr w:type="spellStart"/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Ipec</w:t>
      </w:r>
      <w:proofErr w:type="spellEnd"/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/Ipsos indicam que esse índice alcança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75%,2</w:t>
      </w:r>
      <w:r w:rsidR="00954E21">
        <w:rPr>
          <w:rStyle w:val="Refdenotaderodap"/>
          <w:rFonts w:ascii="Bookman Old Style" w:eastAsia="Batang" w:hAnsi="Bookman Old Style" w:cs="Arial"/>
          <w:color w:val="000000" w:themeColor="text1"/>
          <w:sz w:val="22"/>
          <w:szCs w:val="22"/>
        </w:rPr>
        <w:footnoteReference w:id="2"/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evidenciando um cenário inequívoco de repúdio social.</w:t>
      </w:r>
    </w:p>
    <w:p w14:paraId="614B5BCB" w14:textId="77777777" w:rsidR="00954E21" w:rsidRPr="00FC5D8F" w:rsidRDefault="00954E21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73650027" w14:textId="0B4104C8" w:rsidR="00FC5D8F" w:rsidRDefault="00FC5D8F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Diante dessa realidade, a tentativa de flexibilizar a tutela do direito à vida não apenas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ignora a natureza intrínseca desse direito fundamental, como também afronta o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sentimento moral predominante na sociedade brasileira.</w:t>
      </w:r>
    </w:p>
    <w:p w14:paraId="58611245" w14:textId="77777777" w:rsidR="00954E21" w:rsidRPr="00FC5D8F" w:rsidRDefault="00954E21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50DEE95" w14:textId="5129CD06" w:rsidR="007847CE" w:rsidRDefault="00FC5D8F" w:rsidP="00FC5D8F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Diante do exposto, pretendemos, por meio desta moção, apelar ao Excelentíssimo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Presidente do Senado Federal, Davi </w:t>
      </w:r>
      <w:proofErr w:type="spellStart"/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Alcolumbre</w:t>
      </w:r>
      <w:proofErr w:type="spellEnd"/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, e a todos os Senadores da República,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para que honrem a confiança do povo brasileiro, cumpram seu papel histórico e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REPROVEM COM VEEMÊNCIA a indicação do Sr. Jorge Messias ao Supremo Tribunal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Federal. A validação de premissas que relativizam o direito à vida suscita fundadas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ressalvas. Compreende-se que tal posicionamento evidencia incompatibilidade com a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defesa estrita da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lastRenderedPageBreak/>
        <w:t>dignidade humana, atributo indissociável da reputação ilibada e do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notável saber jurídico exigidos para a mais alta investidura judicial do país.</w:t>
      </w:r>
      <w:r w:rsidR="00954E21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FC5D8F">
        <w:rPr>
          <w:rFonts w:ascii="Bookman Old Style" w:eastAsia="Batang" w:hAnsi="Bookman Old Style" w:cs="Arial"/>
          <w:color w:val="000000" w:themeColor="text1"/>
          <w:sz w:val="22"/>
          <w:szCs w:val="22"/>
        </w:rPr>
        <w:t>[Nome</w:t>
      </w:r>
      <w:r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</w:p>
    <w:p w14:paraId="50DA6373" w14:textId="77777777" w:rsidR="007847CE" w:rsidRPr="00D049CC" w:rsidRDefault="007847CE" w:rsidP="007847CE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0F70B3B9" w14:textId="20DFBBCB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Não se pode tampouco desprezar a vontade popular, de que</w:t>
      </w:r>
      <w:r w:rsidR="00661F02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reza o Parágrafo Único do Artigo Primeiro de nossa atual Constituição todo poder emana</w:t>
      </w:r>
      <w:r w:rsidR="007847CE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do povo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e por meio de cujos representantes se exercer e de quem, portanto, </w:t>
      </w:r>
      <w:r w:rsidR="001D571A"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está</w:t>
      </w: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moção se faz voz. População que, através de diversas pesquisas feitas por variados institutos, invariavelmente reitera sua posição majoritariamente contrária ao aborto em geral e muito mais nos estágios finais da gestação.</w:t>
      </w:r>
    </w:p>
    <w:p w14:paraId="71AB782D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</w:p>
    <w:p w14:paraId="5A2E4A7C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Que a presente Moção, após aprovada pelos senhores pares, seja encaminhada, como prova de nossa mais veemente PREOCUPAÇÃO às seguintes autoridades, conforme seguem:</w:t>
      </w:r>
    </w:p>
    <w:p w14:paraId="3CEC65DE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40CC1ED" w14:textId="77777777" w:rsidR="00D049CC" w:rsidRPr="00D049CC" w:rsidRDefault="00D049CC" w:rsidP="00D049CC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0878777E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Exmo. Sr.</w:t>
      </w:r>
    </w:p>
    <w:p w14:paraId="108CE0D0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David Samuel </w:t>
      </w:r>
      <w:proofErr w:type="spellStart"/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Alcolumbre</w:t>
      </w:r>
      <w:proofErr w:type="spellEnd"/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  <w:proofErr w:type="spellStart"/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Tobelem</w:t>
      </w:r>
      <w:proofErr w:type="spellEnd"/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Presidente do Senado</w:t>
      </w:r>
    </w:p>
    <w:p w14:paraId="07993C58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Senado Federal Anexo 2 Ala Affonso Arinos Gabinete 10 70165.900 Brasília - DF</w:t>
      </w:r>
    </w:p>
    <w:p w14:paraId="1CACB8F6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(61) 3303-6717 / 6720</w:t>
      </w:r>
    </w:p>
    <w:p w14:paraId="294089AA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sen.davialcolumbre@senado.leg.br</w:t>
      </w:r>
    </w:p>
    <w:p w14:paraId="2BEDFF7F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646F8293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24F140A2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6494AA9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Ex. Sr. Senador Carlos Viana</w:t>
      </w:r>
    </w:p>
    <w:p w14:paraId="54C21DFE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Senado Federal Anexo 1 10º Pavimento 70165.900 Brasília, DF</w:t>
      </w:r>
    </w:p>
    <w:p w14:paraId="0D654B72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(61) 3303-3100 / 3116</w:t>
      </w:r>
    </w:p>
    <w:p w14:paraId="020C1FB9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sen.carlosviana@senado.leg.br</w:t>
      </w:r>
    </w:p>
    <w:p w14:paraId="26299E60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25AD9C20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04B3A8A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1117B7A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Exmo. Sr. Senador Cleitinho</w:t>
      </w:r>
    </w:p>
    <w:p w14:paraId="06BACBC5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Senado Federal Anexo 2 Ala Teotônio Vilela Gabinete 17 70165.900 Brasília, DF</w:t>
      </w:r>
    </w:p>
    <w:p w14:paraId="61B742F0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(61) 3303-3811</w:t>
      </w:r>
    </w:p>
    <w:p w14:paraId="4E8FCACD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lastRenderedPageBreak/>
        <w:t>sen.cleitinho@senado.leg.br</w:t>
      </w:r>
    </w:p>
    <w:p w14:paraId="7D63FD99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0004E2B4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5679BA47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16EC1A0D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Exmo. Sr. Senador Rodrigo Pacheco</w:t>
      </w:r>
    </w:p>
    <w:p w14:paraId="7AB02768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Senado Federal Anexo 2 Ala Teotônio Vilela Gabinete 24 70165.900 Brasília, DF</w:t>
      </w:r>
    </w:p>
    <w:p w14:paraId="2AD82BCC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(61) 3303-2794</w:t>
      </w:r>
    </w:p>
    <w:p w14:paraId="421505A1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sen.rodrigopacheco@senado.leg.br</w:t>
      </w:r>
    </w:p>
    <w:p w14:paraId="3B85C722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 xml:space="preserve"> </w:t>
      </w:r>
    </w:p>
    <w:p w14:paraId="16352E6F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Exmo. Sr. Deputado</w:t>
      </w:r>
    </w:p>
    <w:p w14:paraId="11430BF4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Hugo Motta Wanderley da Nóbrega Presidente da Câmara</w:t>
      </w:r>
    </w:p>
    <w:p w14:paraId="542E48E3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Gabinete 237 - Anexo IV - Câmara dos Deputados 70160-900 Brasília, DF</w:t>
      </w:r>
    </w:p>
    <w:p w14:paraId="6A443F02" w14:textId="77777777" w:rsidR="00D049CC" w:rsidRP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(61) 3215-5237</w:t>
      </w:r>
    </w:p>
    <w:p w14:paraId="1FD9706D" w14:textId="57321ACC" w:rsidR="00D049CC" w:rsidRDefault="00D049CC" w:rsidP="001D571A">
      <w:pPr>
        <w:spacing w:line="360" w:lineRule="auto"/>
        <w:ind w:left="1134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  <w:r w:rsidRPr="00D049CC">
        <w:rPr>
          <w:rFonts w:ascii="Bookman Old Style" w:eastAsia="Batang" w:hAnsi="Bookman Old Style" w:cs="Arial"/>
          <w:color w:val="000000" w:themeColor="text1"/>
          <w:sz w:val="22"/>
          <w:szCs w:val="22"/>
        </w:rPr>
        <w:t>dep.hugomotta@camara.leg.br</w:t>
      </w:r>
    </w:p>
    <w:p w14:paraId="6106D548" w14:textId="5E31261D" w:rsidR="00D049CC" w:rsidRDefault="00D049CC" w:rsidP="001C7194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8B2EDC5" w14:textId="77777777" w:rsidR="00D049CC" w:rsidRDefault="00D049CC" w:rsidP="001C7194">
      <w:pPr>
        <w:spacing w:line="360" w:lineRule="auto"/>
        <w:jc w:val="both"/>
        <w:rPr>
          <w:rFonts w:ascii="Bookman Old Style" w:eastAsia="Batang" w:hAnsi="Bookman Old Style" w:cs="Arial"/>
          <w:color w:val="000000" w:themeColor="text1"/>
          <w:sz w:val="22"/>
          <w:szCs w:val="22"/>
        </w:rPr>
      </w:pPr>
    </w:p>
    <w:p w14:paraId="37AFB2E6" w14:textId="7027546E" w:rsidR="00197214" w:rsidRDefault="00197214" w:rsidP="001D571A">
      <w:pPr>
        <w:spacing w:line="360" w:lineRule="auto"/>
        <w:ind w:firstLine="567"/>
        <w:jc w:val="both"/>
        <w:rPr>
          <w:rFonts w:ascii="Bookman Old Style" w:eastAsia="Batang" w:hAnsi="Bookman Old Style" w:cs="Arial"/>
          <w:sz w:val="22"/>
          <w:szCs w:val="22"/>
        </w:rPr>
      </w:pPr>
      <w:r w:rsidRPr="00197214">
        <w:rPr>
          <w:rFonts w:ascii="Bookman Old Style" w:eastAsia="Batang" w:hAnsi="Bookman Old Style" w:cs="Arial"/>
          <w:sz w:val="22"/>
          <w:szCs w:val="22"/>
        </w:rPr>
        <w:t>Certos do apoio ao acima solicitado, desde já agrade</w:t>
      </w:r>
      <w:r w:rsidR="001D571A">
        <w:rPr>
          <w:rFonts w:ascii="Bookman Old Style" w:eastAsia="Batang" w:hAnsi="Bookman Old Style" w:cs="Arial"/>
          <w:sz w:val="22"/>
          <w:szCs w:val="22"/>
        </w:rPr>
        <w:t>ço</w:t>
      </w:r>
      <w:r w:rsidRPr="00197214">
        <w:rPr>
          <w:rFonts w:ascii="Bookman Old Style" w:eastAsia="Batang" w:hAnsi="Bookman Old Style" w:cs="Arial"/>
          <w:sz w:val="22"/>
          <w:szCs w:val="22"/>
        </w:rPr>
        <w:t xml:space="preserve">. </w:t>
      </w:r>
    </w:p>
    <w:p w14:paraId="3BCF4479" w14:textId="77777777" w:rsidR="00197214" w:rsidRDefault="00197214" w:rsidP="001D571A">
      <w:pPr>
        <w:spacing w:line="360" w:lineRule="auto"/>
        <w:ind w:firstLine="567"/>
        <w:jc w:val="both"/>
        <w:rPr>
          <w:rFonts w:ascii="Bookman Old Style" w:eastAsia="Batang" w:hAnsi="Bookman Old Style" w:cs="Arial"/>
          <w:sz w:val="22"/>
          <w:szCs w:val="22"/>
        </w:rPr>
      </w:pPr>
    </w:p>
    <w:p w14:paraId="540EBBEC" w14:textId="2DFC246B" w:rsidR="00BC4EB7" w:rsidRDefault="00BC4EB7" w:rsidP="001D571A">
      <w:pPr>
        <w:spacing w:line="360" w:lineRule="auto"/>
        <w:ind w:firstLine="567"/>
        <w:jc w:val="both"/>
        <w:rPr>
          <w:rFonts w:ascii="Bookman Old Style" w:eastAsia="Batang" w:hAnsi="Bookman Old Style" w:cs="Arial"/>
          <w:sz w:val="22"/>
          <w:szCs w:val="22"/>
        </w:rPr>
      </w:pPr>
      <w:r>
        <w:rPr>
          <w:rFonts w:ascii="Bookman Old Style" w:eastAsia="Batang" w:hAnsi="Bookman Old Style" w:cs="Arial"/>
          <w:sz w:val="22"/>
          <w:szCs w:val="22"/>
        </w:rPr>
        <w:t xml:space="preserve">Sala das Sessões, </w:t>
      </w:r>
      <w:r w:rsidR="001D571A">
        <w:rPr>
          <w:rFonts w:ascii="Bookman Old Style" w:eastAsia="Batang" w:hAnsi="Bookman Old Style" w:cs="Arial"/>
          <w:sz w:val="22"/>
          <w:szCs w:val="22"/>
        </w:rPr>
        <w:t xml:space="preserve">27 de </w:t>
      </w:r>
      <w:proofErr w:type="gramStart"/>
      <w:r w:rsidR="001D571A">
        <w:rPr>
          <w:rFonts w:ascii="Bookman Old Style" w:eastAsia="Batang" w:hAnsi="Bookman Old Style" w:cs="Arial"/>
          <w:sz w:val="22"/>
          <w:szCs w:val="22"/>
        </w:rPr>
        <w:t>Abril</w:t>
      </w:r>
      <w:proofErr w:type="gramEnd"/>
      <w:r w:rsidR="001D571A">
        <w:rPr>
          <w:rFonts w:ascii="Bookman Old Style" w:eastAsia="Batang" w:hAnsi="Bookman Old Style" w:cs="Arial"/>
          <w:sz w:val="22"/>
          <w:szCs w:val="22"/>
        </w:rPr>
        <w:t xml:space="preserve"> de 2026</w:t>
      </w:r>
      <w:r>
        <w:rPr>
          <w:rFonts w:ascii="Bookman Old Style" w:eastAsia="Batang" w:hAnsi="Bookman Old Style" w:cs="Arial"/>
          <w:sz w:val="22"/>
          <w:szCs w:val="22"/>
        </w:rPr>
        <w:t>.</w:t>
      </w:r>
    </w:p>
    <w:p w14:paraId="262F585C" w14:textId="77777777" w:rsidR="00197214" w:rsidRDefault="00197214" w:rsidP="001D571A">
      <w:pPr>
        <w:spacing w:line="360" w:lineRule="auto"/>
        <w:ind w:firstLine="567"/>
        <w:jc w:val="both"/>
        <w:rPr>
          <w:rFonts w:ascii="Bookman Old Style" w:eastAsia="Batang" w:hAnsi="Bookman Old Style" w:cs="Arial"/>
          <w:sz w:val="22"/>
          <w:szCs w:val="22"/>
        </w:rPr>
      </w:pPr>
    </w:p>
    <w:p w14:paraId="47B9F507" w14:textId="77777777" w:rsidR="001D571A" w:rsidRDefault="00BC4EB7" w:rsidP="001D571A">
      <w:pPr>
        <w:spacing w:line="360" w:lineRule="auto"/>
        <w:ind w:firstLine="567"/>
        <w:jc w:val="both"/>
        <w:rPr>
          <w:rFonts w:ascii="Bookman Old Style" w:eastAsia="Batang" w:hAnsi="Bookman Old Style" w:cs="Arial"/>
          <w:sz w:val="22"/>
          <w:szCs w:val="22"/>
        </w:rPr>
      </w:pPr>
      <w:r>
        <w:rPr>
          <w:rFonts w:ascii="Bookman Old Style" w:eastAsia="Batang" w:hAnsi="Bookman Old Style" w:cs="Arial"/>
          <w:sz w:val="22"/>
          <w:szCs w:val="22"/>
        </w:rPr>
        <w:t xml:space="preserve">Câmara Municipal de Diamante do Norte (PR), </w:t>
      </w:r>
      <w:r w:rsidR="001D571A">
        <w:rPr>
          <w:rFonts w:ascii="Bookman Old Style" w:eastAsia="Batang" w:hAnsi="Bookman Old Style" w:cs="Arial"/>
          <w:sz w:val="22"/>
          <w:szCs w:val="22"/>
        </w:rPr>
        <w:t xml:space="preserve">27 de </w:t>
      </w:r>
      <w:proofErr w:type="gramStart"/>
      <w:r w:rsidR="001D571A">
        <w:rPr>
          <w:rFonts w:ascii="Bookman Old Style" w:eastAsia="Batang" w:hAnsi="Bookman Old Style" w:cs="Arial"/>
          <w:sz w:val="22"/>
          <w:szCs w:val="22"/>
        </w:rPr>
        <w:t>Abril</w:t>
      </w:r>
      <w:proofErr w:type="gramEnd"/>
      <w:r w:rsidR="001D571A">
        <w:rPr>
          <w:rFonts w:ascii="Bookman Old Style" w:eastAsia="Batang" w:hAnsi="Bookman Old Style" w:cs="Arial"/>
          <w:sz w:val="22"/>
          <w:szCs w:val="22"/>
        </w:rPr>
        <w:t xml:space="preserve"> de 2026.</w:t>
      </w:r>
    </w:p>
    <w:p w14:paraId="1A8781CE" w14:textId="43F9D673" w:rsidR="004A3D4B" w:rsidRDefault="004A3D4B" w:rsidP="001D571A">
      <w:pPr>
        <w:spacing w:line="360" w:lineRule="auto"/>
        <w:ind w:firstLine="567"/>
        <w:jc w:val="both"/>
        <w:rPr>
          <w:rFonts w:ascii="Bookman Old Style" w:eastAsia="Batang" w:hAnsi="Bookman Old Style" w:cs="Arial"/>
          <w:sz w:val="22"/>
          <w:szCs w:val="22"/>
        </w:rPr>
      </w:pPr>
    </w:p>
    <w:p w14:paraId="04143E9D" w14:textId="7F2ABD8A" w:rsidR="00BC4EB7" w:rsidRDefault="00BC4EB7" w:rsidP="00BC4EB7">
      <w:pPr>
        <w:spacing w:line="360" w:lineRule="auto"/>
        <w:ind w:firstLine="1134"/>
        <w:jc w:val="both"/>
        <w:rPr>
          <w:rFonts w:ascii="Bookman Old Style" w:eastAsia="Batang" w:hAnsi="Bookman Old Style" w:cs="Arial"/>
          <w:sz w:val="22"/>
          <w:szCs w:val="22"/>
        </w:rPr>
      </w:pPr>
    </w:p>
    <w:p w14:paraId="25B65C0F" w14:textId="77777777" w:rsidR="003369EA" w:rsidRDefault="003369EA" w:rsidP="00BC4EB7">
      <w:pPr>
        <w:spacing w:line="360" w:lineRule="auto"/>
        <w:ind w:firstLine="1134"/>
        <w:jc w:val="both"/>
        <w:rPr>
          <w:rFonts w:ascii="Bookman Old Style" w:eastAsia="Batang" w:hAnsi="Bookman Old Style" w:cs="Arial"/>
          <w:sz w:val="22"/>
          <w:szCs w:val="22"/>
        </w:rPr>
      </w:pPr>
    </w:p>
    <w:p w14:paraId="1391190B" w14:textId="77777777" w:rsidR="003369EA" w:rsidRDefault="003369EA" w:rsidP="003369E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EDUARDO BONO DA SILVA</w:t>
      </w:r>
    </w:p>
    <w:p w14:paraId="407A85DA" w14:textId="77777777" w:rsidR="003369EA" w:rsidRPr="00E7669C" w:rsidRDefault="003369EA" w:rsidP="003369EA">
      <w:pPr>
        <w:jc w:val="center"/>
        <w:rPr>
          <w:rFonts w:ascii="Verdana" w:hAnsi="Verdana"/>
          <w:sz w:val="18"/>
          <w:szCs w:val="18"/>
        </w:rPr>
      </w:pPr>
      <w:r w:rsidRPr="00E7669C">
        <w:rPr>
          <w:rFonts w:ascii="Verdana" w:hAnsi="Verdana"/>
          <w:sz w:val="18"/>
          <w:szCs w:val="18"/>
        </w:rPr>
        <w:t xml:space="preserve"> Presidente da Câmara Municipal de Diamante do Norte</w:t>
      </w:r>
    </w:p>
    <w:p w14:paraId="376DC148" w14:textId="77777777" w:rsidR="003369EA" w:rsidRDefault="003369EA" w:rsidP="003369EA">
      <w:pPr>
        <w:jc w:val="center"/>
        <w:rPr>
          <w:rFonts w:ascii="Verdana" w:hAnsi="Verdana"/>
        </w:rPr>
      </w:pPr>
    </w:p>
    <w:p w14:paraId="089CACC5" w14:textId="5FF667EA" w:rsidR="003369EA" w:rsidRDefault="003369EA" w:rsidP="003369EA">
      <w:pPr>
        <w:jc w:val="center"/>
        <w:rPr>
          <w:rFonts w:ascii="Verdana" w:hAnsi="Verdana"/>
        </w:rPr>
      </w:pPr>
    </w:p>
    <w:p w14:paraId="0AFD6C41" w14:textId="372EB0D6" w:rsidR="003369EA" w:rsidRDefault="003369EA" w:rsidP="003369EA">
      <w:pPr>
        <w:jc w:val="center"/>
        <w:rPr>
          <w:rFonts w:ascii="Verdana" w:hAnsi="Verdana"/>
        </w:rPr>
      </w:pPr>
    </w:p>
    <w:p w14:paraId="1542D690" w14:textId="77777777" w:rsidR="003369EA" w:rsidRDefault="003369EA" w:rsidP="003369EA">
      <w:pPr>
        <w:jc w:val="center"/>
        <w:rPr>
          <w:rFonts w:ascii="Verdana" w:hAnsi="Verdana"/>
        </w:rPr>
      </w:pPr>
    </w:p>
    <w:p w14:paraId="7D9CAB39" w14:textId="77777777" w:rsidR="003369EA" w:rsidRDefault="003369EA" w:rsidP="003369EA">
      <w:pPr>
        <w:jc w:val="center"/>
        <w:rPr>
          <w:rFonts w:ascii="Verdana" w:hAnsi="Verdana"/>
        </w:rPr>
      </w:pPr>
    </w:p>
    <w:p w14:paraId="7E61A99B" w14:textId="77777777" w:rsidR="003369EA" w:rsidRDefault="003369EA" w:rsidP="003369EA">
      <w:pPr>
        <w:jc w:val="center"/>
        <w:rPr>
          <w:rFonts w:ascii="Verdana" w:hAnsi="Verdana"/>
        </w:rPr>
      </w:pPr>
    </w:p>
    <w:p w14:paraId="03B4A1EA" w14:textId="77777777" w:rsidR="003369EA" w:rsidRPr="00B70F99" w:rsidRDefault="003369EA" w:rsidP="003369EA">
      <w:pPr>
        <w:jc w:val="center"/>
        <w:rPr>
          <w:rFonts w:ascii="Verdana" w:hAnsi="Verdana"/>
          <w:b/>
          <w:bCs/>
        </w:rPr>
      </w:pPr>
      <w:r w:rsidRPr="00B70F99">
        <w:rPr>
          <w:rFonts w:ascii="Verdana" w:hAnsi="Verdana"/>
          <w:b/>
          <w:bCs/>
        </w:rPr>
        <w:t>JOSÉ LUIZ DOS SANTOS</w:t>
      </w:r>
    </w:p>
    <w:p w14:paraId="43B43233" w14:textId="77777777" w:rsidR="003369EA" w:rsidRPr="00E7669C" w:rsidRDefault="003369EA" w:rsidP="003369EA">
      <w:pPr>
        <w:jc w:val="center"/>
        <w:rPr>
          <w:rFonts w:ascii="Verdana" w:hAnsi="Verdana"/>
          <w:sz w:val="18"/>
          <w:szCs w:val="18"/>
        </w:rPr>
      </w:pPr>
      <w:r w:rsidRPr="00E7669C">
        <w:rPr>
          <w:rFonts w:ascii="Verdana" w:hAnsi="Verdana"/>
          <w:sz w:val="18"/>
          <w:szCs w:val="18"/>
        </w:rPr>
        <w:t>Sargento Santos</w:t>
      </w:r>
    </w:p>
    <w:p w14:paraId="72F69E19" w14:textId="77777777" w:rsidR="003369EA" w:rsidRPr="00E7669C" w:rsidRDefault="003369EA" w:rsidP="003369EA">
      <w:pPr>
        <w:jc w:val="center"/>
        <w:rPr>
          <w:rFonts w:ascii="Verdana" w:hAnsi="Verdana"/>
          <w:sz w:val="18"/>
          <w:szCs w:val="18"/>
        </w:rPr>
      </w:pPr>
      <w:r w:rsidRPr="00E7669C">
        <w:rPr>
          <w:rFonts w:ascii="Verdana" w:hAnsi="Verdana"/>
          <w:sz w:val="18"/>
          <w:szCs w:val="18"/>
        </w:rPr>
        <w:t>Vice-Presidente</w:t>
      </w:r>
    </w:p>
    <w:p w14:paraId="7A1C2189" w14:textId="77777777" w:rsidR="003369EA" w:rsidRDefault="003369EA" w:rsidP="003369EA">
      <w:pPr>
        <w:jc w:val="center"/>
        <w:rPr>
          <w:rFonts w:ascii="Verdana" w:hAnsi="Verdana"/>
        </w:rPr>
      </w:pPr>
    </w:p>
    <w:p w14:paraId="243F79BC" w14:textId="402E1D77" w:rsidR="003369EA" w:rsidRDefault="003369EA" w:rsidP="003369EA">
      <w:pPr>
        <w:jc w:val="center"/>
        <w:rPr>
          <w:rFonts w:ascii="Verdana" w:hAnsi="Verdana"/>
        </w:rPr>
      </w:pPr>
    </w:p>
    <w:p w14:paraId="442D3F30" w14:textId="77777777" w:rsidR="003369EA" w:rsidRDefault="003369EA" w:rsidP="003369EA">
      <w:pPr>
        <w:jc w:val="center"/>
        <w:rPr>
          <w:rFonts w:ascii="Verdana" w:hAnsi="Verdana"/>
        </w:rPr>
      </w:pPr>
    </w:p>
    <w:p w14:paraId="322DE99B" w14:textId="77777777" w:rsidR="003369EA" w:rsidRDefault="003369EA" w:rsidP="003369EA">
      <w:pPr>
        <w:jc w:val="center"/>
        <w:rPr>
          <w:rFonts w:ascii="Verdana" w:hAnsi="Verdana"/>
        </w:rPr>
      </w:pPr>
    </w:p>
    <w:p w14:paraId="26679DA7" w14:textId="77777777" w:rsidR="003369EA" w:rsidRDefault="003369EA" w:rsidP="003369EA">
      <w:pPr>
        <w:jc w:val="center"/>
        <w:rPr>
          <w:rFonts w:ascii="Verdana" w:hAnsi="Verdana"/>
        </w:rPr>
      </w:pPr>
    </w:p>
    <w:p w14:paraId="7017C7F0" w14:textId="77777777" w:rsidR="003369EA" w:rsidRDefault="003369EA" w:rsidP="003369EA">
      <w:pPr>
        <w:pStyle w:val="Recuodecorpodetex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</w:t>
      </w:r>
      <w:r w:rsidRPr="00B70F99">
        <w:rPr>
          <w:rFonts w:ascii="Verdana" w:hAnsi="Verdana"/>
          <w:b/>
          <w:bCs/>
          <w:sz w:val="20"/>
          <w:szCs w:val="20"/>
        </w:rPr>
        <w:t xml:space="preserve">MOACIR JOSÉ DA SILVA                  </w:t>
      </w:r>
      <w:r>
        <w:rPr>
          <w:rFonts w:ascii="Verdana" w:hAnsi="Verdana"/>
          <w:b/>
          <w:bCs/>
          <w:sz w:val="20"/>
          <w:szCs w:val="20"/>
        </w:rPr>
        <w:t xml:space="preserve">   </w:t>
      </w:r>
      <w:r w:rsidRPr="00B70F99">
        <w:rPr>
          <w:rFonts w:ascii="Verdana" w:hAnsi="Verdana"/>
          <w:b/>
          <w:bCs/>
          <w:sz w:val="20"/>
          <w:szCs w:val="20"/>
        </w:rPr>
        <w:t xml:space="preserve">              SERGIO RODRIGUES</w:t>
      </w:r>
    </w:p>
    <w:p w14:paraId="5B5E2BD6" w14:textId="77777777" w:rsidR="003369EA" w:rsidRPr="00E7669C" w:rsidRDefault="003369EA" w:rsidP="003369EA">
      <w:pPr>
        <w:pStyle w:val="Recuodecorpodetexto"/>
        <w:rPr>
          <w:rFonts w:ascii="Verdana" w:hAnsi="Verdana"/>
          <w:b/>
          <w:bCs/>
          <w:sz w:val="18"/>
          <w:szCs w:val="18"/>
        </w:rPr>
      </w:pPr>
      <w:r w:rsidRPr="00E7669C">
        <w:rPr>
          <w:rFonts w:ascii="Verdana" w:hAnsi="Verdana"/>
          <w:sz w:val="18"/>
          <w:szCs w:val="18"/>
        </w:rPr>
        <w:t xml:space="preserve">                  1° Secretário                                                </w:t>
      </w:r>
      <w:r>
        <w:rPr>
          <w:rFonts w:ascii="Verdana" w:hAnsi="Verdana"/>
          <w:sz w:val="18"/>
          <w:szCs w:val="18"/>
        </w:rPr>
        <w:t xml:space="preserve">          </w:t>
      </w:r>
      <w:r w:rsidRPr="00E7669C">
        <w:rPr>
          <w:rFonts w:ascii="Verdana" w:hAnsi="Verdana"/>
          <w:sz w:val="18"/>
          <w:szCs w:val="18"/>
        </w:rPr>
        <w:t xml:space="preserve">   2° Secretário</w:t>
      </w:r>
    </w:p>
    <w:p w14:paraId="46C48F14" w14:textId="77777777" w:rsidR="003369EA" w:rsidRPr="004F7F73" w:rsidRDefault="003369EA" w:rsidP="003369EA">
      <w:pPr>
        <w:pStyle w:val="Ttulo3"/>
        <w:rPr>
          <w:rFonts w:ascii="Verdana" w:hAnsi="Verdana"/>
          <w:b/>
          <w:bCs/>
          <w:i/>
          <w:iCs/>
          <w:sz w:val="20"/>
        </w:rPr>
      </w:pPr>
    </w:p>
    <w:p w14:paraId="7DB1C00A" w14:textId="77777777" w:rsidR="003369EA" w:rsidRDefault="003369EA" w:rsidP="003369EA">
      <w:pPr>
        <w:jc w:val="center"/>
        <w:rPr>
          <w:rFonts w:ascii="Verdana" w:hAnsi="Verdana"/>
        </w:rPr>
      </w:pPr>
    </w:p>
    <w:p w14:paraId="27212E4E" w14:textId="16DDEFEE" w:rsidR="003369EA" w:rsidRDefault="003369EA" w:rsidP="003369EA">
      <w:pPr>
        <w:jc w:val="center"/>
        <w:rPr>
          <w:rFonts w:ascii="Verdana" w:hAnsi="Verdana"/>
        </w:rPr>
      </w:pPr>
    </w:p>
    <w:p w14:paraId="5B4A289E" w14:textId="47052737" w:rsidR="003369EA" w:rsidRDefault="003369EA" w:rsidP="003369EA">
      <w:pPr>
        <w:jc w:val="center"/>
        <w:rPr>
          <w:rFonts w:ascii="Verdana" w:hAnsi="Verdana"/>
        </w:rPr>
      </w:pPr>
    </w:p>
    <w:p w14:paraId="2BBE3F73" w14:textId="77777777" w:rsidR="003369EA" w:rsidRDefault="003369EA" w:rsidP="003369EA">
      <w:pPr>
        <w:jc w:val="center"/>
        <w:rPr>
          <w:rFonts w:ascii="Verdana" w:hAnsi="Verdana"/>
        </w:rPr>
      </w:pPr>
    </w:p>
    <w:p w14:paraId="3EFA24C0" w14:textId="77777777" w:rsidR="003369EA" w:rsidRDefault="003369EA" w:rsidP="003369EA">
      <w:pPr>
        <w:rPr>
          <w:rFonts w:ascii="Verdana" w:hAnsi="Verdana"/>
        </w:rPr>
      </w:pPr>
    </w:p>
    <w:p w14:paraId="1D60BF5B" w14:textId="77777777" w:rsidR="003369EA" w:rsidRDefault="003369EA" w:rsidP="003369EA">
      <w:pPr>
        <w:rPr>
          <w:rFonts w:ascii="Verdana" w:hAnsi="Verdana"/>
        </w:rPr>
      </w:pPr>
    </w:p>
    <w:p w14:paraId="2399C53A" w14:textId="77777777" w:rsidR="003369EA" w:rsidRPr="00B70F99" w:rsidRDefault="003369EA" w:rsidP="003369EA">
      <w:pPr>
        <w:jc w:val="center"/>
        <w:rPr>
          <w:rFonts w:ascii="Verdana" w:hAnsi="Verdana"/>
          <w:b/>
          <w:sz w:val="16"/>
          <w:szCs w:val="16"/>
        </w:rPr>
      </w:pPr>
      <w:r w:rsidRPr="00B70F99">
        <w:rPr>
          <w:rFonts w:ascii="Verdana" w:hAnsi="Verdana"/>
          <w:b/>
        </w:rPr>
        <w:t xml:space="preserve">EDYELSON DA SILVA CANO                </w:t>
      </w:r>
      <w:r>
        <w:rPr>
          <w:rFonts w:ascii="Verdana" w:hAnsi="Verdana"/>
          <w:b/>
        </w:rPr>
        <w:t xml:space="preserve">       </w:t>
      </w:r>
      <w:r w:rsidRPr="00B70F99">
        <w:rPr>
          <w:rFonts w:ascii="Verdana" w:hAnsi="Verdana"/>
          <w:b/>
        </w:rPr>
        <w:t>ÉLCIO FERREIRA DO NASCIMENTO</w:t>
      </w:r>
    </w:p>
    <w:p w14:paraId="5D2FFA44" w14:textId="77777777" w:rsidR="003369EA" w:rsidRPr="00E7669C" w:rsidRDefault="003369EA" w:rsidP="003369EA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</w:t>
      </w:r>
      <w:r w:rsidRPr="00E7669C">
        <w:rPr>
          <w:rFonts w:ascii="Verdana" w:hAnsi="Verdana"/>
          <w:bCs/>
          <w:sz w:val="18"/>
          <w:szCs w:val="18"/>
        </w:rPr>
        <w:t xml:space="preserve">Vereador                                                        </w:t>
      </w:r>
      <w:r>
        <w:rPr>
          <w:rFonts w:ascii="Verdana" w:hAnsi="Verdana"/>
          <w:bCs/>
          <w:sz w:val="18"/>
          <w:szCs w:val="18"/>
        </w:rPr>
        <w:t xml:space="preserve">  </w:t>
      </w:r>
      <w:r w:rsidRPr="00E7669C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            </w:t>
      </w:r>
      <w:proofErr w:type="spellStart"/>
      <w:r w:rsidRPr="00E7669C">
        <w:rPr>
          <w:rFonts w:ascii="Verdana" w:hAnsi="Verdana"/>
          <w:bCs/>
          <w:sz w:val="18"/>
          <w:szCs w:val="18"/>
        </w:rPr>
        <w:t>Vereador</w:t>
      </w:r>
      <w:proofErr w:type="spellEnd"/>
    </w:p>
    <w:p w14:paraId="14A0E563" w14:textId="3C94E9C8" w:rsidR="003369EA" w:rsidRDefault="003369EA" w:rsidP="003369EA">
      <w:pPr>
        <w:jc w:val="center"/>
        <w:rPr>
          <w:rFonts w:ascii="Verdana" w:hAnsi="Verdana"/>
          <w:bCs/>
          <w:sz w:val="18"/>
          <w:szCs w:val="18"/>
        </w:rPr>
      </w:pPr>
    </w:p>
    <w:p w14:paraId="37D970AD" w14:textId="2BC48094" w:rsidR="003369EA" w:rsidRDefault="003369EA" w:rsidP="003369EA">
      <w:pPr>
        <w:jc w:val="center"/>
        <w:rPr>
          <w:rFonts w:ascii="Verdana" w:hAnsi="Verdana"/>
          <w:bCs/>
          <w:sz w:val="18"/>
          <w:szCs w:val="18"/>
        </w:rPr>
      </w:pPr>
    </w:p>
    <w:p w14:paraId="2C857E8A" w14:textId="185446A2" w:rsidR="003369EA" w:rsidRDefault="003369EA" w:rsidP="003369EA">
      <w:pPr>
        <w:jc w:val="center"/>
        <w:rPr>
          <w:rFonts w:ascii="Verdana" w:hAnsi="Verdana"/>
          <w:bCs/>
          <w:sz w:val="18"/>
          <w:szCs w:val="18"/>
        </w:rPr>
      </w:pPr>
    </w:p>
    <w:p w14:paraId="742667CD" w14:textId="00691119" w:rsidR="003369EA" w:rsidRDefault="003369EA" w:rsidP="003369EA">
      <w:pPr>
        <w:jc w:val="center"/>
        <w:rPr>
          <w:rFonts w:ascii="Verdana" w:hAnsi="Verdana"/>
          <w:bCs/>
          <w:sz w:val="18"/>
          <w:szCs w:val="18"/>
        </w:rPr>
      </w:pPr>
    </w:p>
    <w:p w14:paraId="59C195AA" w14:textId="729793B1" w:rsidR="003369EA" w:rsidRDefault="003369EA" w:rsidP="003369EA">
      <w:pPr>
        <w:jc w:val="center"/>
        <w:rPr>
          <w:rFonts w:ascii="Verdana" w:hAnsi="Verdana"/>
          <w:bCs/>
          <w:sz w:val="18"/>
          <w:szCs w:val="18"/>
        </w:rPr>
      </w:pPr>
    </w:p>
    <w:p w14:paraId="3C09DBF8" w14:textId="77777777" w:rsidR="003369EA" w:rsidRPr="00E7669C" w:rsidRDefault="003369EA" w:rsidP="003369EA">
      <w:pPr>
        <w:jc w:val="center"/>
        <w:rPr>
          <w:rFonts w:ascii="Verdana" w:hAnsi="Verdana"/>
          <w:bCs/>
          <w:sz w:val="18"/>
          <w:szCs w:val="18"/>
        </w:rPr>
      </w:pPr>
    </w:p>
    <w:p w14:paraId="7B8CC2E7" w14:textId="77777777" w:rsidR="003369EA" w:rsidRPr="00B70F99" w:rsidRDefault="003369EA" w:rsidP="003369EA">
      <w:pPr>
        <w:jc w:val="center"/>
        <w:rPr>
          <w:rFonts w:ascii="Verdana" w:hAnsi="Verdana"/>
          <w:bCs/>
        </w:rPr>
      </w:pPr>
    </w:p>
    <w:p w14:paraId="621E241B" w14:textId="77777777" w:rsidR="003369EA" w:rsidRPr="00B70F99" w:rsidRDefault="003369EA" w:rsidP="003369EA">
      <w:pPr>
        <w:jc w:val="center"/>
        <w:rPr>
          <w:rFonts w:ascii="Verdana" w:hAnsi="Verdana"/>
          <w:bCs/>
        </w:rPr>
      </w:pPr>
    </w:p>
    <w:p w14:paraId="395C1A51" w14:textId="77777777" w:rsidR="003369EA" w:rsidRPr="00B70F99" w:rsidRDefault="003369EA" w:rsidP="003369EA">
      <w:pPr>
        <w:jc w:val="center"/>
        <w:rPr>
          <w:rFonts w:ascii="Verdana" w:hAnsi="Verdana"/>
          <w:bCs/>
        </w:rPr>
      </w:pPr>
    </w:p>
    <w:p w14:paraId="1D6A6E98" w14:textId="77777777" w:rsidR="003369EA" w:rsidRPr="00B70F99" w:rsidRDefault="003369EA" w:rsidP="003369EA">
      <w:pPr>
        <w:jc w:val="center"/>
        <w:rPr>
          <w:rFonts w:ascii="Verdana" w:hAnsi="Verdana"/>
          <w:b/>
        </w:rPr>
      </w:pPr>
      <w:r w:rsidRPr="00B70F99">
        <w:rPr>
          <w:rFonts w:ascii="Verdana" w:hAnsi="Verdana"/>
          <w:b/>
        </w:rPr>
        <w:t xml:space="preserve">GILMAR AMARANTE TORRES          </w:t>
      </w:r>
      <w:r>
        <w:rPr>
          <w:rFonts w:ascii="Verdana" w:hAnsi="Verdana"/>
          <w:b/>
        </w:rPr>
        <w:t xml:space="preserve">          </w:t>
      </w:r>
      <w:r w:rsidRPr="00B70F99">
        <w:rPr>
          <w:rFonts w:ascii="Verdana" w:hAnsi="Verdana"/>
          <w:b/>
        </w:rPr>
        <w:t>JOÃO LOURENÇO DA SILVA</w:t>
      </w:r>
    </w:p>
    <w:p w14:paraId="1721768B" w14:textId="77777777" w:rsidR="003369EA" w:rsidRPr="00B70F99" w:rsidRDefault="003369EA" w:rsidP="003369EA">
      <w:pPr>
        <w:jc w:val="center"/>
        <w:rPr>
          <w:rFonts w:ascii="Verdana" w:hAnsi="Verdana"/>
          <w:bCs/>
        </w:rPr>
      </w:pPr>
      <w:r w:rsidRPr="00B4799C">
        <w:rPr>
          <w:rFonts w:ascii="Verdana" w:hAnsi="Verdana"/>
          <w:bCs/>
          <w:sz w:val="18"/>
          <w:szCs w:val="18"/>
        </w:rPr>
        <w:t xml:space="preserve">Vereador                                                     </w:t>
      </w:r>
      <w:r>
        <w:rPr>
          <w:rFonts w:ascii="Verdana" w:hAnsi="Verdana"/>
          <w:bCs/>
          <w:sz w:val="18"/>
          <w:szCs w:val="18"/>
        </w:rPr>
        <w:t xml:space="preserve">         </w:t>
      </w:r>
      <w:proofErr w:type="spellStart"/>
      <w:r w:rsidRPr="00B4799C">
        <w:rPr>
          <w:rFonts w:ascii="Verdana" w:hAnsi="Verdana"/>
          <w:bCs/>
          <w:sz w:val="18"/>
          <w:szCs w:val="18"/>
        </w:rPr>
        <w:t>Vereador</w:t>
      </w:r>
      <w:proofErr w:type="spellEnd"/>
    </w:p>
    <w:p w14:paraId="79CD643F" w14:textId="77777777" w:rsidR="003369EA" w:rsidRPr="00B70F99" w:rsidRDefault="003369EA" w:rsidP="003369EA">
      <w:pPr>
        <w:jc w:val="center"/>
        <w:rPr>
          <w:rFonts w:ascii="Verdana" w:hAnsi="Verdana"/>
          <w:bCs/>
        </w:rPr>
      </w:pPr>
    </w:p>
    <w:p w14:paraId="578BB61A" w14:textId="77777777" w:rsidR="003369EA" w:rsidRDefault="003369EA" w:rsidP="003369EA">
      <w:pPr>
        <w:jc w:val="center"/>
        <w:rPr>
          <w:rFonts w:ascii="Verdana" w:hAnsi="Verdana"/>
          <w:bCs/>
        </w:rPr>
      </w:pPr>
    </w:p>
    <w:p w14:paraId="25D5EEF8" w14:textId="77777777" w:rsidR="003369EA" w:rsidRDefault="003369EA" w:rsidP="003369EA">
      <w:pPr>
        <w:jc w:val="center"/>
        <w:rPr>
          <w:rFonts w:ascii="Verdana" w:hAnsi="Verdana"/>
          <w:bCs/>
        </w:rPr>
      </w:pPr>
    </w:p>
    <w:p w14:paraId="1B3D6CAC" w14:textId="61489DDF" w:rsidR="003369EA" w:rsidRDefault="003369EA" w:rsidP="003369EA">
      <w:pPr>
        <w:jc w:val="center"/>
        <w:rPr>
          <w:rFonts w:ascii="Verdana" w:hAnsi="Verdana"/>
          <w:bCs/>
        </w:rPr>
      </w:pPr>
    </w:p>
    <w:p w14:paraId="39DD599D" w14:textId="7BC3C18F" w:rsidR="003369EA" w:rsidRDefault="003369EA" w:rsidP="003369EA">
      <w:pPr>
        <w:jc w:val="center"/>
        <w:rPr>
          <w:rFonts w:ascii="Verdana" w:hAnsi="Verdana"/>
          <w:bCs/>
        </w:rPr>
      </w:pPr>
    </w:p>
    <w:p w14:paraId="1FE58FE0" w14:textId="44CD40D8" w:rsidR="003369EA" w:rsidRDefault="003369EA" w:rsidP="003369EA">
      <w:pPr>
        <w:jc w:val="center"/>
        <w:rPr>
          <w:rFonts w:ascii="Verdana" w:hAnsi="Verdana"/>
          <w:bCs/>
        </w:rPr>
      </w:pPr>
    </w:p>
    <w:p w14:paraId="113D685A" w14:textId="77777777" w:rsidR="003369EA" w:rsidRDefault="003369EA" w:rsidP="003369EA">
      <w:pPr>
        <w:jc w:val="center"/>
        <w:rPr>
          <w:rFonts w:ascii="Verdana" w:hAnsi="Verdana"/>
          <w:bCs/>
        </w:rPr>
      </w:pPr>
    </w:p>
    <w:p w14:paraId="1E7ECE64" w14:textId="77777777" w:rsidR="003369EA" w:rsidRPr="005240C9" w:rsidRDefault="003369EA" w:rsidP="003369EA">
      <w:pPr>
        <w:jc w:val="center"/>
        <w:rPr>
          <w:rFonts w:ascii="Verdana" w:hAnsi="Verdana"/>
          <w:bCs/>
          <w:sz w:val="16"/>
          <w:szCs w:val="16"/>
        </w:rPr>
      </w:pPr>
    </w:p>
    <w:p w14:paraId="01C085E2" w14:textId="77777777" w:rsidR="003369EA" w:rsidRPr="005240C9" w:rsidRDefault="003369EA" w:rsidP="003369EA">
      <w:pPr>
        <w:jc w:val="center"/>
        <w:rPr>
          <w:rFonts w:ascii="Verdana" w:hAnsi="Verdana"/>
          <w:bCs/>
          <w:sz w:val="16"/>
          <w:szCs w:val="16"/>
        </w:rPr>
      </w:pPr>
      <w:r w:rsidRPr="005240C9">
        <w:rPr>
          <w:rFonts w:ascii="Verdana" w:hAnsi="Verdana"/>
          <w:b/>
        </w:rPr>
        <w:t>JOSE ROBERTO LOURENÇO PARDIN</w:t>
      </w:r>
    </w:p>
    <w:p w14:paraId="51DCE161" w14:textId="77777777" w:rsidR="003369EA" w:rsidRPr="006152AD" w:rsidRDefault="003369EA" w:rsidP="003369EA">
      <w:pPr>
        <w:jc w:val="center"/>
        <w:rPr>
          <w:rFonts w:ascii="Bookman Old Style" w:hAnsi="Bookman Old Style"/>
        </w:rPr>
      </w:pPr>
      <w:r w:rsidRPr="00B4799C">
        <w:rPr>
          <w:rFonts w:ascii="Verdana" w:hAnsi="Verdana"/>
          <w:bCs/>
          <w:sz w:val="18"/>
          <w:szCs w:val="18"/>
        </w:rPr>
        <w:t>Vereador</w:t>
      </w:r>
    </w:p>
    <w:p w14:paraId="0956ED96" w14:textId="7B65FCCE" w:rsidR="005E1275" w:rsidRDefault="005E1275" w:rsidP="005E1275">
      <w:pPr>
        <w:jc w:val="center"/>
        <w:rPr>
          <w:rFonts w:ascii="Verdana" w:hAnsi="Verdana"/>
        </w:rPr>
      </w:pPr>
    </w:p>
    <w:p w14:paraId="12A054DD" w14:textId="77777777" w:rsidR="005E1275" w:rsidRDefault="005E1275" w:rsidP="005E1275">
      <w:pPr>
        <w:jc w:val="center"/>
        <w:rPr>
          <w:rFonts w:ascii="Verdana" w:hAnsi="Verdana"/>
        </w:rPr>
      </w:pPr>
    </w:p>
    <w:p w14:paraId="66E551C1" w14:textId="77777777" w:rsidR="005E1275" w:rsidRDefault="005E1275" w:rsidP="005E1275">
      <w:pPr>
        <w:jc w:val="center"/>
        <w:rPr>
          <w:rFonts w:ascii="Verdana" w:hAnsi="Verdana"/>
        </w:rPr>
      </w:pPr>
    </w:p>
    <w:p w14:paraId="7BDB29C5" w14:textId="77777777" w:rsidR="005E1275" w:rsidRDefault="005E1275" w:rsidP="005E1275">
      <w:pPr>
        <w:jc w:val="center"/>
        <w:rPr>
          <w:rFonts w:ascii="Verdana" w:hAnsi="Verdana"/>
        </w:rPr>
      </w:pPr>
    </w:p>
    <w:p w14:paraId="21DE6BAC" w14:textId="77777777" w:rsidR="005E1275" w:rsidRDefault="005E1275" w:rsidP="005E1275">
      <w:pPr>
        <w:jc w:val="center"/>
        <w:rPr>
          <w:rFonts w:ascii="Verdana" w:hAnsi="Verdana"/>
        </w:rPr>
      </w:pPr>
    </w:p>
    <w:p w14:paraId="6CD557C2" w14:textId="210DCCC2" w:rsidR="005E1275" w:rsidRDefault="005E1275" w:rsidP="005E1275">
      <w:pPr>
        <w:rPr>
          <w:rFonts w:ascii="Verdana" w:hAnsi="Verdana"/>
        </w:rPr>
      </w:pPr>
    </w:p>
    <w:p w14:paraId="2974F79C" w14:textId="77777777" w:rsidR="005E1275" w:rsidRDefault="005E1275" w:rsidP="005E1275">
      <w:pPr>
        <w:rPr>
          <w:rFonts w:ascii="Verdana" w:hAnsi="Verdana"/>
        </w:rPr>
      </w:pPr>
    </w:p>
    <w:p w14:paraId="4F94A91C" w14:textId="77777777" w:rsidR="005E1275" w:rsidRDefault="005E1275" w:rsidP="005E1275">
      <w:pPr>
        <w:rPr>
          <w:rFonts w:ascii="Verdana" w:hAnsi="Verdana"/>
        </w:rPr>
      </w:pPr>
    </w:p>
    <w:p w14:paraId="4A836E92" w14:textId="10485595" w:rsidR="005E1275" w:rsidRDefault="005E1275" w:rsidP="005E1275">
      <w:pPr>
        <w:jc w:val="center"/>
        <w:rPr>
          <w:rFonts w:ascii="Verdana" w:hAnsi="Verdana"/>
          <w:b/>
        </w:rPr>
      </w:pPr>
    </w:p>
    <w:sectPr w:rsidR="005E1275" w:rsidSect="005C3B11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760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4D14" w14:textId="77777777" w:rsidR="00F63418" w:rsidRDefault="00F63418">
      <w:r>
        <w:separator/>
      </w:r>
    </w:p>
  </w:endnote>
  <w:endnote w:type="continuationSeparator" w:id="0">
    <w:p w14:paraId="0B13C62F" w14:textId="77777777" w:rsidR="00F63418" w:rsidRDefault="00F6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KNKH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A13A" w14:textId="77777777" w:rsidR="00AA2D9D" w:rsidRDefault="003F2C4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02E6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2E6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F2E2E6D" w14:textId="77777777" w:rsidR="00AA2D9D" w:rsidRDefault="00F63418">
    <w:pPr>
      <w:pStyle w:val="Rodap"/>
    </w:pPr>
  </w:p>
  <w:p w14:paraId="549C3CE2" w14:textId="77777777" w:rsidR="001666FC" w:rsidRDefault="001666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437D" w14:textId="756901AF" w:rsidR="00AA2D9D" w:rsidRDefault="003F2C4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02E6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18BF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66CBDD43" w14:textId="77777777" w:rsidR="00AA2D9D" w:rsidRDefault="00F63418">
    <w:pPr>
      <w:pStyle w:val="Rodap"/>
    </w:pPr>
  </w:p>
  <w:p w14:paraId="22342BDD" w14:textId="77777777" w:rsidR="001666FC" w:rsidRDefault="001666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918D" w14:textId="77777777" w:rsidR="00F63418" w:rsidRDefault="00F63418">
      <w:r>
        <w:separator/>
      </w:r>
    </w:p>
  </w:footnote>
  <w:footnote w:type="continuationSeparator" w:id="0">
    <w:p w14:paraId="05F19CB7" w14:textId="77777777" w:rsidR="00F63418" w:rsidRDefault="00F63418">
      <w:r>
        <w:continuationSeparator/>
      </w:r>
    </w:p>
  </w:footnote>
  <w:footnote w:id="1">
    <w:p w14:paraId="6D309900" w14:textId="16DC9952" w:rsidR="00954E21" w:rsidRDefault="00954E21" w:rsidP="00954E21">
      <w:pPr>
        <w:autoSpaceDE w:val="0"/>
        <w:autoSpaceDN w:val="0"/>
        <w:adjustRightInd w:val="0"/>
        <w:jc w:val="both"/>
      </w:pPr>
      <w:r>
        <w:rPr>
          <w:rStyle w:val="Refdenotaderodap"/>
        </w:rPr>
        <w:footnoteRef/>
      </w:r>
      <w:r>
        <w:t xml:space="preserve"> </w:t>
      </w:r>
      <w:r w:rsidRPr="00954E21">
        <w:rPr>
          <w:rFonts w:ascii="Calibri" w:eastAsiaTheme="minorHAnsi" w:hAnsi="Calibri" w:cs="Calibri"/>
          <w:sz w:val="16"/>
          <w:szCs w:val="16"/>
          <w:lang w:eastAsia="en-US"/>
        </w:rPr>
        <w:t>GAZETA DO POVO. Aborto: Maioria dos brasileiros rejeitam liberação. Disponível em:&lt;https://www.gazetadopovo.com.br/vida-e-cidadania/68-dos-brasileiros-rejeitam-liberacao-do-abortomostra-derdata/&gt;. Acesso em: 13 abr. 2026</w:t>
      </w:r>
      <w:r>
        <w:rPr>
          <w:rFonts w:ascii="Calibri" w:eastAsiaTheme="minorHAnsi" w:hAnsi="Calibri" w:cs="Calibri"/>
          <w:lang w:eastAsia="en-US"/>
        </w:rPr>
        <w:t>;</w:t>
      </w:r>
    </w:p>
  </w:footnote>
  <w:footnote w:id="2">
    <w:p w14:paraId="16C89F3C" w14:textId="0410CA22" w:rsidR="00954E21" w:rsidRPr="00954E21" w:rsidRDefault="00954E21" w:rsidP="00954E21">
      <w:pPr>
        <w:pStyle w:val="Textodenotaderodap"/>
        <w:jc w:val="both"/>
        <w:rPr>
          <w:sz w:val="18"/>
          <w:szCs w:val="18"/>
        </w:rPr>
      </w:pPr>
      <w:r w:rsidRPr="00954E21">
        <w:rPr>
          <w:rStyle w:val="Refdenotaderodap"/>
          <w:sz w:val="18"/>
          <w:szCs w:val="18"/>
        </w:rPr>
        <w:footnoteRef/>
      </w:r>
      <w:r w:rsidRPr="00954E21">
        <w:rPr>
          <w:sz w:val="18"/>
          <w:szCs w:val="18"/>
        </w:rPr>
        <w:t xml:space="preserve"> CNN BRASIL. Três em quatro brasileiros são contra legalização do aborto, diz Ipsos-</w:t>
      </w:r>
      <w:r w:rsidRPr="00954E21">
        <w:rPr>
          <w:sz w:val="18"/>
          <w:szCs w:val="18"/>
        </w:rPr>
        <w:t>Ipec. Disponível em:&lt;https://www.cnnbrasil.com.br/politica/tres-em-quatro-brasileiros-sao-contra-legalizacao-do-abortodiz-</w:t>
      </w:r>
    </w:p>
    <w:p w14:paraId="22226273" w14:textId="2991837C" w:rsidR="00954E21" w:rsidRDefault="00954E21" w:rsidP="00954E21">
      <w:pPr>
        <w:pStyle w:val="Textodenotaderodap"/>
        <w:jc w:val="both"/>
      </w:pPr>
      <w:r w:rsidRPr="00954E21">
        <w:rPr>
          <w:sz w:val="18"/>
          <w:szCs w:val="18"/>
        </w:rPr>
        <w:t xml:space="preserve">ipsos-ipec/&gt;. Acesso em: 13 abr. </w:t>
      </w:r>
      <w:r w:rsidRPr="00954E21">
        <w:rPr>
          <w:sz w:val="16"/>
          <w:szCs w:val="16"/>
        </w:rPr>
        <w:t>2026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23" w:type="dxa"/>
      <w:tblLook w:val="04A0" w:firstRow="1" w:lastRow="0" w:firstColumn="1" w:lastColumn="0" w:noHBand="0" w:noVBand="1"/>
    </w:tblPr>
    <w:tblGrid>
      <w:gridCol w:w="1696"/>
      <w:gridCol w:w="8227"/>
    </w:tblGrid>
    <w:tr w:rsidR="00CC4FE9" w14:paraId="1403FCBA" w14:textId="77777777" w:rsidTr="00033C08"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66A3BAFA" w14:textId="122DBD80" w:rsidR="00CC4FE9" w:rsidRPr="00A63496" w:rsidRDefault="00F025EB" w:rsidP="00033C08">
          <w:pPr>
            <w:pStyle w:val="Ttulo1"/>
            <w:contextualSpacing/>
            <w:jc w:val="center"/>
            <w:outlineLvl w:val="0"/>
            <w:rPr>
              <w:rFonts w:ascii="Arial" w:hAnsi="Arial" w:cs="Arial"/>
              <w:b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DDC304C" wp14:editId="551E9B04">
                    <wp:simplePos x="0" y="0"/>
                    <wp:positionH relativeFrom="column">
                      <wp:posOffset>-251460</wp:posOffset>
                    </wp:positionH>
                    <wp:positionV relativeFrom="paragraph">
                      <wp:posOffset>12065</wp:posOffset>
                    </wp:positionV>
                    <wp:extent cx="6445250" cy="1162050"/>
                    <wp:effectExtent l="0" t="0" r="0" b="0"/>
                    <wp:wrapNone/>
                    <wp:docPr id="3" name="Retâ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45250" cy="1162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9827A3" id="Retângulo 3" o:spid="_x0000_s1026" style="position:absolute;margin-left:-19.8pt;margin-top:.95pt;width:507.5pt;height:9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" strokeweight="1.5pt"/>
                </w:pict>
              </mc:Fallback>
            </mc:AlternateContent>
          </w:r>
        </w:p>
        <w:p w14:paraId="32490667" w14:textId="77777777" w:rsidR="00CC4FE9" w:rsidRDefault="00CC4FE9" w:rsidP="00033C08">
          <w:pPr>
            <w:pStyle w:val="Ttulo1"/>
            <w:ind w:left="-426"/>
            <w:contextualSpacing/>
            <w:jc w:val="center"/>
            <w:outlineLvl w:val="0"/>
            <w:rPr>
              <w:rFonts w:ascii="Arial" w:hAnsi="Arial" w:cs="Arial"/>
              <w:b/>
              <w:sz w:val="44"/>
              <w:szCs w:val="44"/>
            </w:rPr>
          </w:pPr>
          <w:r>
            <w:rPr>
              <w:rFonts w:ascii="Arial" w:hAnsi="Arial" w:cs="Arial"/>
              <w:b/>
              <w:noProof/>
              <w:sz w:val="44"/>
              <w:szCs w:val="44"/>
            </w:rPr>
            <w:drawing>
              <wp:inline distT="0" distB="0" distL="0" distR="0" wp14:anchorId="1335AD27" wp14:editId="0D4066F8">
                <wp:extent cx="781050" cy="942975"/>
                <wp:effectExtent l="19050" t="0" r="0" b="0"/>
                <wp:docPr id="1" name="Imagem 1" descr="E:\brasaoPr.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 descr="E:\brasaoPr.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6876161" w14:textId="77777777" w:rsidR="00CC4FE9" w:rsidRPr="00A63496" w:rsidRDefault="00CC4FE9" w:rsidP="00033C08">
          <w:pPr>
            <w:pStyle w:val="Ttulo1"/>
            <w:jc w:val="center"/>
            <w:outlineLvl w:val="0"/>
            <w:rPr>
              <w:rFonts w:ascii="Arial" w:hAnsi="Arial" w:cs="Arial"/>
              <w:b/>
              <w:sz w:val="16"/>
              <w:szCs w:val="16"/>
            </w:rPr>
          </w:pPr>
        </w:p>
        <w:p w14:paraId="02AF966A" w14:textId="77777777" w:rsidR="00CC4FE9" w:rsidRDefault="00CC4FE9" w:rsidP="00033C08">
          <w:pPr>
            <w:pStyle w:val="Ttulo1"/>
            <w:spacing w:line="276" w:lineRule="auto"/>
            <w:contextualSpacing/>
            <w:jc w:val="left"/>
            <w:outlineLvl w:val="0"/>
            <w:rPr>
              <w:rFonts w:ascii="Arial" w:hAnsi="Arial" w:cs="Arial"/>
              <w:b/>
              <w:sz w:val="16"/>
              <w:szCs w:val="16"/>
            </w:rPr>
          </w:pPr>
        </w:p>
        <w:p w14:paraId="252A219F" w14:textId="77777777" w:rsidR="00CC4FE9" w:rsidRPr="00A63496" w:rsidRDefault="00A45229" w:rsidP="00033C08">
          <w:pPr>
            <w:pStyle w:val="Ttulo1"/>
            <w:spacing w:line="276" w:lineRule="auto"/>
            <w:contextualSpacing/>
            <w:outlineLvl w:val="0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2"/>
              <w:szCs w:val="36"/>
            </w:rPr>
            <w:t>CÂMARA MUNICIPAL DE DIAMANTE DO NORTE</w:t>
          </w:r>
        </w:p>
        <w:p w14:paraId="5C58A4AF" w14:textId="77777777" w:rsidR="00CC4FE9" w:rsidRPr="00974E90" w:rsidRDefault="00CC4FE9" w:rsidP="00033C08">
          <w:pPr>
            <w:pStyle w:val="Ttulo9"/>
            <w:spacing w:line="276" w:lineRule="auto"/>
            <w:contextualSpacing/>
            <w:outlineLvl w:val="8"/>
            <w:rPr>
              <w:rFonts w:ascii="Arial" w:hAnsi="Arial" w:cs="Arial"/>
              <w:b w:val="0"/>
              <w:sz w:val="25"/>
              <w:szCs w:val="25"/>
            </w:rPr>
          </w:pPr>
          <w:r w:rsidRPr="00974E90">
            <w:rPr>
              <w:rFonts w:ascii="Arial" w:hAnsi="Arial" w:cs="Arial"/>
              <w:b w:val="0"/>
              <w:sz w:val="25"/>
              <w:szCs w:val="25"/>
            </w:rPr>
            <w:t>Estado do Paraná</w:t>
          </w:r>
          <w:r w:rsidRPr="00974E90">
            <w:rPr>
              <w:rFonts w:ascii="Arial" w:hAnsi="Arial" w:cs="Arial"/>
              <w:sz w:val="25"/>
              <w:szCs w:val="25"/>
            </w:rPr>
            <w:t xml:space="preserve"> – </w:t>
          </w:r>
          <w:r w:rsidRPr="00974E90">
            <w:rPr>
              <w:rFonts w:ascii="Arial" w:hAnsi="Arial" w:cs="Arial"/>
              <w:b w:val="0"/>
              <w:sz w:val="25"/>
              <w:szCs w:val="25"/>
            </w:rPr>
            <w:t xml:space="preserve">CNPJ </w:t>
          </w:r>
          <w:r w:rsidR="00845B8A">
            <w:rPr>
              <w:rFonts w:ascii="Arial" w:hAnsi="Arial" w:cs="Arial"/>
              <w:b w:val="0"/>
              <w:sz w:val="25"/>
              <w:szCs w:val="25"/>
            </w:rPr>
            <w:t>80.611.759/0001-40</w:t>
          </w:r>
        </w:p>
        <w:p w14:paraId="4FB2A8D6" w14:textId="77777777" w:rsidR="00CC4FE9" w:rsidRPr="00EB7565" w:rsidRDefault="00CC4FE9" w:rsidP="00845B8A">
          <w:pPr>
            <w:pStyle w:val="Cabealho"/>
            <w:tabs>
              <w:tab w:val="left" w:pos="2160"/>
            </w:tabs>
            <w:spacing w:line="276" w:lineRule="auto"/>
            <w:contextualSpacing/>
            <w:rPr>
              <w:rFonts w:ascii="Arial" w:hAnsi="Arial" w:cs="Arial"/>
              <w:sz w:val="25"/>
              <w:szCs w:val="25"/>
            </w:rPr>
          </w:pPr>
          <w:r w:rsidRPr="00EB7565">
            <w:rPr>
              <w:rFonts w:ascii="Arial" w:hAnsi="Arial" w:cs="Arial"/>
              <w:sz w:val="25"/>
              <w:szCs w:val="25"/>
            </w:rPr>
            <w:t>Rua José Vicente, 257 – Fone: (44) 3429-1</w:t>
          </w:r>
          <w:r w:rsidR="00A45229">
            <w:rPr>
              <w:rFonts w:ascii="Arial" w:hAnsi="Arial" w:cs="Arial"/>
              <w:sz w:val="25"/>
              <w:szCs w:val="25"/>
            </w:rPr>
            <w:t>970</w:t>
          </w:r>
          <w:r w:rsidRPr="00EB7565">
            <w:rPr>
              <w:rFonts w:ascii="Arial" w:hAnsi="Arial" w:cs="Arial"/>
              <w:sz w:val="25"/>
              <w:szCs w:val="25"/>
            </w:rPr>
            <w:t>– CEP 87.990 - 000</w:t>
          </w:r>
        </w:p>
      </w:tc>
    </w:tr>
  </w:tbl>
  <w:p w14:paraId="78031D05" w14:textId="77777777" w:rsidR="00CC4FE9" w:rsidRDefault="00CC4FE9" w:rsidP="00CC4FE9">
    <w:pPr>
      <w:pStyle w:val="Cabealho"/>
    </w:pPr>
    <w:r>
      <w:tab/>
    </w:r>
  </w:p>
  <w:p w14:paraId="2A7D4486" w14:textId="77777777" w:rsidR="00AA2D9D" w:rsidRDefault="00F63418">
    <w:pPr>
      <w:pStyle w:val="Cabealho"/>
    </w:pPr>
  </w:p>
  <w:p w14:paraId="39ABD754" w14:textId="77777777" w:rsidR="001666FC" w:rsidRDefault="00166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D5"/>
    <w:rsid w:val="00000375"/>
    <w:rsid w:val="00024C25"/>
    <w:rsid w:val="00035D63"/>
    <w:rsid w:val="00046B9C"/>
    <w:rsid w:val="00056417"/>
    <w:rsid w:val="00056903"/>
    <w:rsid w:val="000574E0"/>
    <w:rsid w:val="0006089D"/>
    <w:rsid w:val="000645C2"/>
    <w:rsid w:val="0007388F"/>
    <w:rsid w:val="0007421A"/>
    <w:rsid w:val="00075AF9"/>
    <w:rsid w:val="00082302"/>
    <w:rsid w:val="0009033E"/>
    <w:rsid w:val="0009195A"/>
    <w:rsid w:val="00094B4B"/>
    <w:rsid w:val="000A33D1"/>
    <w:rsid w:val="000B4075"/>
    <w:rsid w:val="000E257F"/>
    <w:rsid w:val="000F0FE9"/>
    <w:rsid w:val="0010004B"/>
    <w:rsid w:val="00105432"/>
    <w:rsid w:val="00110B14"/>
    <w:rsid w:val="00117E08"/>
    <w:rsid w:val="00132B17"/>
    <w:rsid w:val="001440E6"/>
    <w:rsid w:val="00147028"/>
    <w:rsid w:val="0015628C"/>
    <w:rsid w:val="001666FC"/>
    <w:rsid w:val="00176800"/>
    <w:rsid w:val="0018053E"/>
    <w:rsid w:val="0018646B"/>
    <w:rsid w:val="00197214"/>
    <w:rsid w:val="001B064A"/>
    <w:rsid w:val="001B14A1"/>
    <w:rsid w:val="001B7861"/>
    <w:rsid w:val="001C39EB"/>
    <w:rsid w:val="001C7194"/>
    <w:rsid w:val="001D3DCC"/>
    <w:rsid w:val="001D571A"/>
    <w:rsid w:val="001D6398"/>
    <w:rsid w:val="001E646E"/>
    <w:rsid w:val="001E7773"/>
    <w:rsid w:val="001F03DB"/>
    <w:rsid w:val="001F323C"/>
    <w:rsid w:val="001F3FA8"/>
    <w:rsid w:val="002054F2"/>
    <w:rsid w:val="00210BF4"/>
    <w:rsid w:val="002167F3"/>
    <w:rsid w:val="00220749"/>
    <w:rsid w:val="002214F1"/>
    <w:rsid w:val="00223C77"/>
    <w:rsid w:val="00226B3B"/>
    <w:rsid w:val="00237EC5"/>
    <w:rsid w:val="00240198"/>
    <w:rsid w:val="002429E5"/>
    <w:rsid w:val="002536DC"/>
    <w:rsid w:val="002717FD"/>
    <w:rsid w:val="002722D6"/>
    <w:rsid w:val="002826BB"/>
    <w:rsid w:val="0029260F"/>
    <w:rsid w:val="0029469E"/>
    <w:rsid w:val="002974A2"/>
    <w:rsid w:val="00297BF1"/>
    <w:rsid w:val="002A36A2"/>
    <w:rsid w:val="002A74F7"/>
    <w:rsid w:val="002B0F90"/>
    <w:rsid w:val="002B31D3"/>
    <w:rsid w:val="002C4F64"/>
    <w:rsid w:val="002D6D7C"/>
    <w:rsid w:val="002E0556"/>
    <w:rsid w:val="002E613E"/>
    <w:rsid w:val="003023AA"/>
    <w:rsid w:val="00303868"/>
    <w:rsid w:val="00320BEA"/>
    <w:rsid w:val="00326088"/>
    <w:rsid w:val="003369EA"/>
    <w:rsid w:val="0035110D"/>
    <w:rsid w:val="00352656"/>
    <w:rsid w:val="0036246A"/>
    <w:rsid w:val="0037284C"/>
    <w:rsid w:val="00384EDB"/>
    <w:rsid w:val="003A0CF6"/>
    <w:rsid w:val="003A2903"/>
    <w:rsid w:val="003A32F7"/>
    <w:rsid w:val="003A595A"/>
    <w:rsid w:val="003A781C"/>
    <w:rsid w:val="003C327C"/>
    <w:rsid w:val="003C65A0"/>
    <w:rsid w:val="003D0DA3"/>
    <w:rsid w:val="003D295F"/>
    <w:rsid w:val="003D3697"/>
    <w:rsid w:val="003E437A"/>
    <w:rsid w:val="003E6FC5"/>
    <w:rsid w:val="003F2C4E"/>
    <w:rsid w:val="0040192A"/>
    <w:rsid w:val="004023D6"/>
    <w:rsid w:val="00402685"/>
    <w:rsid w:val="004042C3"/>
    <w:rsid w:val="004045DB"/>
    <w:rsid w:val="00415FD6"/>
    <w:rsid w:val="00420F87"/>
    <w:rsid w:val="00420FB0"/>
    <w:rsid w:val="004320A5"/>
    <w:rsid w:val="00443AAE"/>
    <w:rsid w:val="00447045"/>
    <w:rsid w:val="004472FE"/>
    <w:rsid w:val="00467934"/>
    <w:rsid w:val="00474E17"/>
    <w:rsid w:val="004A2F3E"/>
    <w:rsid w:val="004A3D4B"/>
    <w:rsid w:val="004C2A9D"/>
    <w:rsid w:val="004C3F04"/>
    <w:rsid w:val="004C4144"/>
    <w:rsid w:val="004C6F0C"/>
    <w:rsid w:val="004C7FFD"/>
    <w:rsid w:val="004D3399"/>
    <w:rsid w:val="004D5157"/>
    <w:rsid w:val="004E74AE"/>
    <w:rsid w:val="004F4E20"/>
    <w:rsid w:val="004F6E42"/>
    <w:rsid w:val="004F7D1A"/>
    <w:rsid w:val="00500F75"/>
    <w:rsid w:val="00501CC4"/>
    <w:rsid w:val="005124A6"/>
    <w:rsid w:val="00514ED0"/>
    <w:rsid w:val="00520612"/>
    <w:rsid w:val="0052733E"/>
    <w:rsid w:val="005365EA"/>
    <w:rsid w:val="0054278E"/>
    <w:rsid w:val="00547F20"/>
    <w:rsid w:val="00554445"/>
    <w:rsid w:val="0056104A"/>
    <w:rsid w:val="005653B8"/>
    <w:rsid w:val="00593C82"/>
    <w:rsid w:val="00596349"/>
    <w:rsid w:val="00597B63"/>
    <w:rsid w:val="005A3B0F"/>
    <w:rsid w:val="005A3B28"/>
    <w:rsid w:val="005B5CD6"/>
    <w:rsid w:val="005C3B11"/>
    <w:rsid w:val="005C66D2"/>
    <w:rsid w:val="005D159B"/>
    <w:rsid w:val="005D3C3B"/>
    <w:rsid w:val="005D5158"/>
    <w:rsid w:val="005E05F9"/>
    <w:rsid w:val="005E1275"/>
    <w:rsid w:val="005F34F7"/>
    <w:rsid w:val="00601AC0"/>
    <w:rsid w:val="00604D39"/>
    <w:rsid w:val="006077F9"/>
    <w:rsid w:val="00615EAE"/>
    <w:rsid w:val="00626238"/>
    <w:rsid w:val="00640A52"/>
    <w:rsid w:val="00655909"/>
    <w:rsid w:val="00657C0D"/>
    <w:rsid w:val="00660A8A"/>
    <w:rsid w:val="00661F02"/>
    <w:rsid w:val="00664A4F"/>
    <w:rsid w:val="0066717F"/>
    <w:rsid w:val="006750CB"/>
    <w:rsid w:val="006805C1"/>
    <w:rsid w:val="006943EF"/>
    <w:rsid w:val="006976DE"/>
    <w:rsid w:val="006A3841"/>
    <w:rsid w:val="006B041A"/>
    <w:rsid w:val="006B5CB3"/>
    <w:rsid w:val="006C14C5"/>
    <w:rsid w:val="006C5239"/>
    <w:rsid w:val="006D199E"/>
    <w:rsid w:val="006F1A9A"/>
    <w:rsid w:val="00704C88"/>
    <w:rsid w:val="00713D3A"/>
    <w:rsid w:val="00717384"/>
    <w:rsid w:val="00720EF2"/>
    <w:rsid w:val="0072165D"/>
    <w:rsid w:val="00722AAC"/>
    <w:rsid w:val="007250A7"/>
    <w:rsid w:val="00734A19"/>
    <w:rsid w:val="00757129"/>
    <w:rsid w:val="0076701A"/>
    <w:rsid w:val="00776A6B"/>
    <w:rsid w:val="007778A2"/>
    <w:rsid w:val="00780A74"/>
    <w:rsid w:val="007847CE"/>
    <w:rsid w:val="0079704F"/>
    <w:rsid w:val="0079756B"/>
    <w:rsid w:val="007C3DC7"/>
    <w:rsid w:val="007C7B8A"/>
    <w:rsid w:val="007D0F84"/>
    <w:rsid w:val="007D14A3"/>
    <w:rsid w:val="007E1324"/>
    <w:rsid w:val="007E16D2"/>
    <w:rsid w:val="007E1998"/>
    <w:rsid w:val="0080605C"/>
    <w:rsid w:val="00811D63"/>
    <w:rsid w:val="00812372"/>
    <w:rsid w:val="008172FE"/>
    <w:rsid w:val="00817896"/>
    <w:rsid w:val="00821F2B"/>
    <w:rsid w:val="00822E7C"/>
    <w:rsid w:val="00831684"/>
    <w:rsid w:val="00841B2C"/>
    <w:rsid w:val="00845257"/>
    <w:rsid w:val="00845B8A"/>
    <w:rsid w:val="00846B4D"/>
    <w:rsid w:val="00856D65"/>
    <w:rsid w:val="0085768E"/>
    <w:rsid w:val="008664EF"/>
    <w:rsid w:val="00871FE9"/>
    <w:rsid w:val="00876D60"/>
    <w:rsid w:val="00894050"/>
    <w:rsid w:val="008A053A"/>
    <w:rsid w:val="008B0ACD"/>
    <w:rsid w:val="008C5B62"/>
    <w:rsid w:val="008E3C19"/>
    <w:rsid w:val="008F752E"/>
    <w:rsid w:val="00905705"/>
    <w:rsid w:val="00923CF1"/>
    <w:rsid w:val="0092639A"/>
    <w:rsid w:val="0093105D"/>
    <w:rsid w:val="009310A0"/>
    <w:rsid w:val="00937B8B"/>
    <w:rsid w:val="00954E21"/>
    <w:rsid w:val="00955D7D"/>
    <w:rsid w:val="009610F7"/>
    <w:rsid w:val="0096170E"/>
    <w:rsid w:val="00961717"/>
    <w:rsid w:val="00967B37"/>
    <w:rsid w:val="00970504"/>
    <w:rsid w:val="00970F2E"/>
    <w:rsid w:val="00976328"/>
    <w:rsid w:val="00981D1C"/>
    <w:rsid w:val="009944D3"/>
    <w:rsid w:val="009954DD"/>
    <w:rsid w:val="009B18BF"/>
    <w:rsid w:val="009B242A"/>
    <w:rsid w:val="009B6AB7"/>
    <w:rsid w:val="009B73C1"/>
    <w:rsid w:val="009C61D7"/>
    <w:rsid w:val="009D6DEA"/>
    <w:rsid w:val="009E0D14"/>
    <w:rsid w:val="00A0424B"/>
    <w:rsid w:val="00A07EDD"/>
    <w:rsid w:val="00A12B5B"/>
    <w:rsid w:val="00A20198"/>
    <w:rsid w:val="00A21A5E"/>
    <w:rsid w:val="00A300BC"/>
    <w:rsid w:val="00A4308D"/>
    <w:rsid w:val="00A433A1"/>
    <w:rsid w:val="00A43BFB"/>
    <w:rsid w:val="00A45229"/>
    <w:rsid w:val="00A51FB1"/>
    <w:rsid w:val="00A53AED"/>
    <w:rsid w:val="00A637FB"/>
    <w:rsid w:val="00A66069"/>
    <w:rsid w:val="00A75BB7"/>
    <w:rsid w:val="00A87B99"/>
    <w:rsid w:val="00A90E9B"/>
    <w:rsid w:val="00A92726"/>
    <w:rsid w:val="00A954EA"/>
    <w:rsid w:val="00AA075D"/>
    <w:rsid w:val="00AC25E4"/>
    <w:rsid w:val="00AD0F4B"/>
    <w:rsid w:val="00AD1394"/>
    <w:rsid w:val="00AD224C"/>
    <w:rsid w:val="00AD6AE1"/>
    <w:rsid w:val="00AE0912"/>
    <w:rsid w:val="00AE1442"/>
    <w:rsid w:val="00AE21B0"/>
    <w:rsid w:val="00AE3510"/>
    <w:rsid w:val="00AE4105"/>
    <w:rsid w:val="00AF407D"/>
    <w:rsid w:val="00AF4929"/>
    <w:rsid w:val="00AF6850"/>
    <w:rsid w:val="00AF79E6"/>
    <w:rsid w:val="00B02E69"/>
    <w:rsid w:val="00B03F2F"/>
    <w:rsid w:val="00B077FE"/>
    <w:rsid w:val="00B105FB"/>
    <w:rsid w:val="00B1675D"/>
    <w:rsid w:val="00B2236C"/>
    <w:rsid w:val="00B25DE7"/>
    <w:rsid w:val="00B3050E"/>
    <w:rsid w:val="00B3204C"/>
    <w:rsid w:val="00B32741"/>
    <w:rsid w:val="00B34034"/>
    <w:rsid w:val="00B36AF7"/>
    <w:rsid w:val="00B3750A"/>
    <w:rsid w:val="00B45AC2"/>
    <w:rsid w:val="00B52BDD"/>
    <w:rsid w:val="00B54F2A"/>
    <w:rsid w:val="00B600B4"/>
    <w:rsid w:val="00B67D00"/>
    <w:rsid w:val="00B71972"/>
    <w:rsid w:val="00B7252B"/>
    <w:rsid w:val="00B84DE9"/>
    <w:rsid w:val="00B9590A"/>
    <w:rsid w:val="00B97F42"/>
    <w:rsid w:val="00BA2588"/>
    <w:rsid w:val="00BA5A16"/>
    <w:rsid w:val="00BB0542"/>
    <w:rsid w:val="00BB0DD8"/>
    <w:rsid w:val="00BB56F0"/>
    <w:rsid w:val="00BB60BD"/>
    <w:rsid w:val="00BC4EB7"/>
    <w:rsid w:val="00BC7C5B"/>
    <w:rsid w:val="00BE53FF"/>
    <w:rsid w:val="00BF1295"/>
    <w:rsid w:val="00C0685D"/>
    <w:rsid w:val="00C153FC"/>
    <w:rsid w:val="00C30999"/>
    <w:rsid w:val="00C337F2"/>
    <w:rsid w:val="00C33AC5"/>
    <w:rsid w:val="00C41658"/>
    <w:rsid w:val="00C44FD2"/>
    <w:rsid w:val="00C53C69"/>
    <w:rsid w:val="00C60EAD"/>
    <w:rsid w:val="00C63163"/>
    <w:rsid w:val="00C70EC6"/>
    <w:rsid w:val="00C7136C"/>
    <w:rsid w:val="00C75787"/>
    <w:rsid w:val="00C75D31"/>
    <w:rsid w:val="00C80E4E"/>
    <w:rsid w:val="00C84790"/>
    <w:rsid w:val="00C86101"/>
    <w:rsid w:val="00CA0F2E"/>
    <w:rsid w:val="00CA3EA9"/>
    <w:rsid w:val="00CA59D5"/>
    <w:rsid w:val="00CC0496"/>
    <w:rsid w:val="00CC2964"/>
    <w:rsid w:val="00CC4FE9"/>
    <w:rsid w:val="00CC5C20"/>
    <w:rsid w:val="00CC634C"/>
    <w:rsid w:val="00CD2060"/>
    <w:rsid w:val="00CD721A"/>
    <w:rsid w:val="00CD74EF"/>
    <w:rsid w:val="00CE3888"/>
    <w:rsid w:val="00CF2BF6"/>
    <w:rsid w:val="00CF7A5B"/>
    <w:rsid w:val="00D0272F"/>
    <w:rsid w:val="00D049CC"/>
    <w:rsid w:val="00D05EAE"/>
    <w:rsid w:val="00D11E69"/>
    <w:rsid w:val="00D15F07"/>
    <w:rsid w:val="00D167C7"/>
    <w:rsid w:val="00D239D8"/>
    <w:rsid w:val="00D62B08"/>
    <w:rsid w:val="00D7013D"/>
    <w:rsid w:val="00D7122D"/>
    <w:rsid w:val="00D75EDD"/>
    <w:rsid w:val="00D87253"/>
    <w:rsid w:val="00D90319"/>
    <w:rsid w:val="00D9306C"/>
    <w:rsid w:val="00D93727"/>
    <w:rsid w:val="00D93BFA"/>
    <w:rsid w:val="00D95166"/>
    <w:rsid w:val="00DA4B35"/>
    <w:rsid w:val="00DC7D50"/>
    <w:rsid w:val="00DE2CD1"/>
    <w:rsid w:val="00DE40EF"/>
    <w:rsid w:val="00DF4905"/>
    <w:rsid w:val="00E02423"/>
    <w:rsid w:val="00E072F7"/>
    <w:rsid w:val="00E07828"/>
    <w:rsid w:val="00E14336"/>
    <w:rsid w:val="00E16816"/>
    <w:rsid w:val="00E2588A"/>
    <w:rsid w:val="00E30A88"/>
    <w:rsid w:val="00E330A7"/>
    <w:rsid w:val="00E36E7C"/>
    <w:rsid w:val="00E4270B"/>
    <w:rsid w:val="00E45E38"/>
    <w:rsid w:val="00E52DF2"/>
    <w:rsid w:val="00E84D1B"/>
    <w:rsid w:val="00E867BE"/>
    <w:rsid w:val="00E86BA9"/>
    <w:rsid w:val="00E87CB0"/>
    <w:rsid w:val="00E94217"/>
    <w:rsid w:val="00E94BD5"/>
    <w:rsid w:val="00EA547A"/>
    <w:rsid w:val="00EA5570"/>
    <w:rsid w:val="00EA71BF"/>
    <w:rsid w:val="00EB3E22"/>
    <w:rsid w:val="00EC1763"/>
    <w:rsid w:val="00EC7ACD"/>
    <w:rsid w:val="00ED15D0"/>
    <w:rsid w:val="00ED5404"/>
    <w:rsid w:val="00ED6419"/>
    <w:rsid w:val="00EE326F"/>
    <w:rsid w:val="00EE439E"/>
    <w:rsid w:val="00EE77E9"/>
    <w:rsid w:val="00F025EB"/>
    <w:rsid w:val="00F10653"/>
    <w:rsid w:val="00F1451B"/>
    <w:rsid w:val="00F20EDB"/>
    <w:rsid w:val="00F2687A"/>
    <w:rsid w:val="00F43CDA"/>
    <w:rsid w:val="00F450B5"/>
    <w:rsid w:val="00F528A3"/>
    <w:rsid w:val="00F62A14"/>
    <w:rsid w:val="00F63418"/>
    <w:rsid w:val="00F9364E"/>
    <w:rsid w:val="00FA37F3"/>
    <w:rsid w:val="00FA474E"/>
    <w:rsid w:val="00FA731E"/>
    <w:rsid w:val="00FA7E67"/>
    <w:rsid w:val="00FB224E"/>
    <w:rsid w:val="00FC28D5"/>
    <w:rsid w:val="00FC5D8F"/>
    <w:rsid w:val="00FD0BF6"/>
    <w:rsid w:val="00FD1BB7"/>
    <w:rsid w:val="00FD47D2"/>
    <w:rsid w:val="00FD661B"/>
    <w:rsid w:val="00FD76DC"/>
    <w:rsid w:val="00FE4CA6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33608"/>
  <w15:docId w15:val="{7DF2EF19-3B14-4405-BBC9-D2F3CE91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9D5"/>
    <w:pPr>
      <w:keepNext/>
      <w:jc w:val="both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CA59D5"/>
    <w:pPr>
      <w:keepNext/>
      <w:jc w:val="center"/>
      <w:outlineLvl w:val="2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A59D5"/>
    <w:pPr>
      <w:keepNext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9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59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A59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A59D5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A59D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A59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A59D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A59D5"/>
  </w:style>
  <w:style w:type="paragraph" w:styleId="Cabealho">
    <w:name w:val="header"/>
    <w:basedOn w:val="Normal"/>
    <w:link w:val="CabealhoChar"/>
    <w:rsid w:val="00CA59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59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A59D5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rsid w:val="00CA59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A59D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CA59D5"/>
    <w:pPr>
      <w:autoSpaceDE w:val="0"/>
      <w:autoSpaceDN w:val="0"/>
      <w:adjustRightInd w:val="0"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paragraph" w:customStyle="1" w:styleId="Cargo">
    <w:name w:val="Cargo"/>
    <w:basedOn w:val="Default"/>
    <w:next w:val="Default"/>
    <w:rsid w:val="00CA59D5"/>
    <w:rPr>
      <w:rFonts w:ascii="DKNKHN+ArialNarrow" w:hAnsi="DKNKHN+ArialNarrow" w:cs="Times New Roman"/>
      <w:color w:val="auto"/>
    </w:rPr>
  </w:style>
  <w:style w:type="paragraph" w:styleId="Ttulo">
    <w:name w:val="Title"/>
    <w:basedOn w:val="Normal"/>
    <w:link w:val="TtuloChar"/>
    <w:qFormat/>
    <w:rsid w:val="00CA59D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</w:pPr>
    <w:rPr>
      <w:rFonts w:ascii="Arial" w:hAnsi="Arial" w:cs="Arial"/>
      <w:b/>
      <w:sz w:val="24"/>
      <w:szCs w:val="24"/>
    </w:rPr>
  </w:style>
  <w:style w:type="character" w:customStyle="1" w:styleId="TtuloChar">
    <w:name w:val="Título Char"/>
    <w:basedOn w:val="Fontepargpadro"/>
    <w:link w:val="Ttulo"/>
    <w:rsid w:val="00CA59D5"/>
    <w:rPr>
      <w:rFonts w:ascii="Arial" w:eastAsia="Times New Roman" w:hAnsi="Arial" w:cs="Arial"/>
      <w:b/>
      <w:sz w:val="24"/>
      <w:szCs w:val="24"/>
      <w:shd w:val="clear" w:color="auto" w:fill="CCCCCC"/>
      <w:lang w:eastAsia="pt-BR"/>
    </w:rPr>
  </w:style>
  <w:style w:type="paragraph" w:styleId="Legenda">
    <w:name w:val="caption"/>
    <w:basedOn w:val="Normal"/>
    <w:next w:val="Normal"/>
    <w:qFormat/>
    <w:rsid w:val="00CA59D5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99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7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FE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826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6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6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6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6B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0A88"/>
    <w:rPr>
      <w:color w:val="0000FF" w:themeColor="hyperlink"/>
      <w:u w:val="single"/>
    </w:rPr>
  </w:style>
  <w:style w:type="paragraph" w:customStyle="1" w:styleId="Pargrafo1">
    <w:name w:val="Par grafo 1"/>
    <w:rsid w:val="0007421A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BR"/>
    </w:rPr>
  </w:style>
  <w:style w:type="table" w:customStyle="1" w:styleId="TableGrid">
    <w:name w:val="TableGrid"/>
    <w:rsid w:val="008123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A4308D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5E1275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E12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4E2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4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54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C87E-2A23-4207-AA41-0589B7BD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1471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fabiana celestino de castro</cp:lastModifiedBy>
  <cp:revision>2</cp:revision>
  <cp:lastPrinted>2025-02-24T18:26:00Z</cp:lastPrinted>
  <dcterms:created xsi:type="dcterms:W3CDTF">2026-04-27T14:20:00Z</dcterms:created>
  <dcterms:modified xsi:type="dcterms:W3CDTF">2026-04-27T14:20:00Z</dcterms:modified>
</cp:coreProperties>
</file>